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ZA PIERWSZY KWARTAŁ</w:t>
      </w:r>
      <w:r w:rsidRPr="00CD64C6">
        <w:rPr>
          <w:b/>
          <w:sz w:val="24"/>
          <w:szCs w:val="24"/>
        </w:rPr>
        <w:t xml:space="preserve"> 20</w:t>
      </w:r>
      <w:r w:rsidR="00DB3ACF">
        <w:rPr>
          <w:b/>
          <w:sz w:val="24"/>
          <w:szCs w:val="24"/>
        </w:rPr>
        <w:t>20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DB3ACF">
        <w:rPr>
          <w:sz w:val="24"/>
          <w:szCs w:val="24"/>
        </w:rPr>
        <w:t>h (tekst jednolity Dz. U. z 2019 r. poz. 869</w:t>
      </w:r>
      <w:r>
        <w:rPr>
          <w:sz w:val="24"/>
          <w:szCs w:val="24"/>
        </w:rPr>
        <w:t xml:space="preserve"> ze zmianami 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budżetu Gminy </w:t>
      </w:r>
      <w:r w:rsidR="00DB3ACF">
        <w:rPr>
          <w:sz w:val="24"/>
          <w:szCs w:val="24"/>
        </w:rPr>
        <w:t>Milejewo za pierwszy kwartał 2020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CF">
        <w:rPr>
          <w:sz w:val="24"/>
          <w:szCs w:val="24"/>
        </w:rPr>
        <w:t>Budżet Gminy Milejewo na rok 2020 uchwalony został dnia 12</w:t>
      </w:r>
      <w:r w:rsidR="003E2CDC">
        <w:rPr>
          <w:sz w:val="24"/>
          <w:szCs w:val="24"/>
        </w:rPr>
        <w:t xml:space="preserve"> grudnia 201</w:t>
      </w:r>
      <w:r w:rsidR="00DB3ACF">
        <w:rPr>
          <w:sz w:val="24"/>
          <w:szCs w:val="24"/>
        </w:rPr>
        <w:t>9</w:t>
      </w:r>
      <w:r>
        <w:rPr>
          <w:sz w:val="24"/>
          <w:szCs w:val="24"/>
        </w:rPr>
        <w:t xml:space="preserve"> r. Uchwałą Rady </w:t>
      </w:r>
      <w:r w:rsidR="00DB3ACF">
        <w:rPr>
          <w:sz w:val="24"/>
          <w:szCs w:val="24"/>
        </w:rPr>
        <w:t>Gminy Milejewo Nr IX/66/2019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>
        <w:rPr>
          <w:sz w:val="24"/>
          <w:szCs w:val="24"/>
        </w:rPr>
        <w:t>31</w:t>
      </w:r>
      <w:r w:rsidR="00DB3ACF">
        <w:rPr>
          <w:sz w:val="24"/>
          <w:szCs w:val="24"/>
        </w:rPr>
        <w:t xml:space="preserve"> marca 2020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3ACF">
        <w:rPr>
          <w:sz w:val="24"/>
          <w:szCs w:val="24"/>
        </w:rPr>
        <w:t>ochody ogółem:     22</w:t>
      </w:r>
      <w:r w:rsidR="00336B0F">
        <w:rPr>
          <w:sz w:val="24"/>
          <w:szCs w:val="24"/>
        </w:rPr>
        <w:t> 998 510,10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36B0F">
        <w:rPr>
          <w:sz w:val="24"/>
          <w:szCs w:val="24"/>
        </w:rPr>
        <w:t>ochody bieżące     16 722 622,78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6B0F">
        <w:rPr>
          <w:sz w:val="24"/>
          <w:szCs w:val="24"/>
        </w:rPr>
        <w:t xml:space="preserve"> dochody majątkowe  6 275 887,32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336B0F">
        <w:rPr>
          <w:sz w:val="24"/>
          <w:szCs w:val="24"/>
        </w:rPr>
        <w:t>em:       22 993 874,15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36B0F">
        <w:rPr>
          <w:sz w:val="24"/>
          <w:szCs w:val="24"/>
        </w:rPr>
        <w:t>datki bieżące      16 118 144,13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336B0F">
        <w:rPr>
          <w:sz w:val="24"/>
          <w:szCs w:val="24"/>
        </w:rPr>
        <w:t xml:space="preserve"> wydatki majątkowe  6 875 730,02</w:t>
      </w:r>
      <w:r>
        <w:rPr>
          <w:sz w:val="24"/>
          <w:szCs w:val="24"/>
        </w:rPr>
        <w:t xml:space="preserve"> zł. </w:t>
      </w:r>
    </w:p>
    <w:p w:rsidR="00D376A8" w:rsidRDefault="00336B0F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pierwszym kwartale 2020</w:t>
      </w:r>
      <w:r w:rsidR="00D376A8"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336B0F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Dochody ogółem 4 702 096,29 zł., t. j. 20,44</w:t>
      </w:r>
      <w:r w:rsidR="00D376A8">
        <w:rPr>
          <w:sz w:val="24"/>
          <w:szCs w:val="24"/>
        </w:rPr>
        <w:t xml:space="preserve"> % planu</w:t>
      </w:r>
    </w:p>
    <w:p w:rsidR="00D376A8" w:rsidRDefault="00336B0F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3 900 004,43 zł. t. j. 16,96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zaplanowa</w:t>
      </w:r>
      <w:r w:rsidR="00336B0F">
        <w:rPr>
          <w:sz w:val="24"/>
          <w:szCs w:val="24"/>
        </w:rPr>
        <w:t>no nadwyżkę w kwocie – 4 635,95</w:t>
      </w:r>
      <w:r w:rsidR="003E2CDC">
        <w:rPr>
          <w:sz w:val="24"/>
          <w:szCs w:val="24"/>
        </w:rPr>
        <w:t xml:space="preserve">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</w:t>
      </w:r>
      <w:r w:rsidR="00336B0F">
        <w:rPr>
          <w:sz w:val="24"/>
          <w:szCs w:val="24"/>
        </w:rPr>
        <w:t>mknęło się na dzień 31 marca 2020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336B0F">
        <w:rPr>
          <w:sz w:val="24"/>
          <w:szCs w:val="24"/>
        </w:rPr>
        <w:t>kwocie 802 091,86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</w:t>
      </w:r>
      <w:r w:rsidR="00336B0F">
        <w:rPr>
          <w:sz w:val="24"/>
          <w:szCs w:val="24"/>
        </w:rPr>
        <w:t>y Milejewo na dzień 31 marca 2020 r. stanowi kwotę 1 429 262,28</w:t>
      </w:r>
      <w:r>
        <w:rPr>
          <w:sz w:val="24"/>
          <w:szCs w:val="24"/>
        </w:rPr>
        <w:t xml:space="preserve"> zł. (kredyty i pożyczki – bez odsetek) co w stosunku do planowanych rocznych dochodów ogółem stanowi wskaźnik zadł</w:t>
      </w:r>
      <w:r w:rsidR="00336B0F">
        <w:rPr>
          <w:sz w:val="24"/>
          <w:szCs w:val="24"/>
        </w:rPr>
        <w:t>użenia gminy wynoszący 6,21</w:t>
      </w:r>
      <w:r>
        <w:rPr>
          <w:sz w:val="24"/>
          <w:szCs w:val="24"/>
        </w:rPr>
        <w:t xml:space="preserve"> % (bez </w:t>
      </w:r>
      <w:proofErr w:type="spellStart"/>
      <w:r w:rsidR="00336B0F">
        <w:rPr>
          <w:sz w:val="24"/>
          <w:szCs w:val="24"/>
        </w:rPr>
        <w:t>wyłączeń</w:t>
      </w:r>
      <w:proofErr w:type="spellEnd"/>
      <w:r w:rsidR="00336B0F">
        <w:rPr>
          <w:sz w:val="24"/>
          <w:szCs w:val="24"/>
        </w:rPr>
        <w:t xml:space="preserve">), po </w:t>
      </w:r>
      <w:proofErr w:type="spellStart"/>
      <w:r w:rsidR="00336B0F">
        <w:rPr>
          <w:sz w:val="24"/>
          <w:szCs w:val="24"/>
        </w:rPr>
        <w:t>wyłączeniach</w:t>
      </w:r>
      <w:proofErr w:type="spellEnd"/>
      <w:r w:rsidR="00336B0F">
        <w:rPr>
          <w:sz w:val="24"/>
          <w:szCs w:val="24"/>
        </w:rPr>
        <w:t xml:space="preserve"> 6,21</w:t>
      </w:r>
      <w:r>
        <w:rPr>
          <w:sz w:val="24"/>
          <w:szCs w:val="24"/>
        </w:rPr>
        <w:t xml:space="preserve"> %.</w:t>
      </w:r>
    </w:p>
    <w:p w:rsidR="00D376A8" w:rsidRDefault="00336B0F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pierwszym kwartale roku 2020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 w:rsidR="008E3F79">
        <w:rPr>
          <w:sz w:val="24"/>
          <w:szCs w:val="24"/>
        </w:rPr>
        <w:t>umorzyła niepodatkowych należności budżetowych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</w:t>
      </w:r>
      <w:r w:rsidR="008E3F79">
        <w:rPr>
          <w:sz w:val="24"/>
          <w:szCs w:val="24"/>
        </w:rPr>
        <w:t>awy.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8E3F79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11 maja 2020</w:t>
      </w:r>
      <w:r w:rsidR="00D376A8">
        <w:rPr>
          <w:sz w:val="24"/>
          <w:szCs w:val="24"/>
        </w:rPr>
        <w:t xml:space="preserve"> r.                                                          </w:t>
      </w:r>
      <w:r w:rsidR="005A1414">
        <w:rPr>
          <w:sz w:val="24"/>
          <w:szCs w:val="24"/>
        </w:rPr>
        <w:t xml:space="preserve">    </w:t>
      </w:r>
      <w:r w:rsidR="00D376A8">
        <w:rPr>
          <w:sz w:val="24"/>
          <w:szCs w:val="24"/>
        </w:rPr>
        <w:t xml:space="preserve"> 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p w:rsidR="00BF61C6" w:rsidRDefault="00BF61C6" w:rsidP="00BF61C6">
      <w:pPr>
        <w:jc w:val="center"/>
      </w:pPr>
      <w:r>
        <w:rPr>
          <w:sz w:val="28"/>
          <w:szCs w:val="28"/>
        </w:rPr>
        <w:lastRenderedPageBreak/>
        <w:t>Informacja</w:t>
      </w:r>
    </w:p>
    <w:p w:rsidR="00BF61C6" w:rsidRDefault="00BF61C6" w:rsidP="00BF61C6">
      <w:pPr>
        <w:jc w:val="center"/>
      </w:pPr>
      <w:r>
        <w:rPr>
          <w:sz w:val="28"/>
          <w:szCs w:val="28"/>
        </w:rPr>
        <w:t>o udzielonych umorzeniach niepodatkowych należności budżetowych</w:t>
      </w:r>
    </w:p>
    <w:p w:rsidR="00BF61C6" w:rsidRDefault="00BF61C6" w:rsidP="00BF61C6">
      <w:pPr>
        <w:jc w:val="center"/>
      </w:pPr>
      <w:r>
        <w:rPr>
          <w:sz w:val="28"/>
          <w:szCs w:val="28"/>
        </w:rPr>
        <w:t>od początku roku do dnia 31.</w:t>
      </w:r>
      <w:r w:rsidR="00D521EA">
        <w:rPr>
          <w:sz w:val="28"/>
          <w:szCs w:val="28"/>
        </w:rPr>
        <w:t>13</w:t>
      </w:r>
      <w:r>
        <w:rPr>
          <w:sz w:val="28"/>
          <w:szCs w:val="28"/>
        </w:rPr>
        <w:t>.201</w:t>
      </w:r>
      <w:r w:rsidR="00D521EA">
        <w:rPr>
          <w:sz w:val="28"/>
          <w:szCs w:val="28"/>
        </w:rPr>
        <w:t xml:space="preserve">9 </w:t>
      </w:r>
      <w:r>
        <w:rPr>
          <w:sz w:val="28"/>
          <w:szCs w:val="28"/>
        </w:rPr>
        <w:t>r.</w:t>
      </w:r>
    </w:p>
    <w:p w:rsidR="00BF61C6" w:rsidRDefault="00BF61C6" w:rsidP="00BF6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61C6" w:rsidRDefault="00BF61C6" w:rsidP="00BF61C6">
      <w:r>
        <w:rPr>
          <w:rFonts w:ascii="Arial" w:hAnsi="Arial" w:cs="Arial"/>
        </w:rPr>
        <w:t>Sporządzona zgodnie z art. 37 ustawy z dnia 27 sierpnia 2009 roku o finansach publicznych (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 .Dz.U. 2017 poz. 2077 ze zm.)</w:t>
      </w: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4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50"/>
        <w:gridCol w:w="3452"/>
        <w:gridCol w:w="1595"/>
      </w:tblGrid>
      <w:tr w:rsidR="00BF61C6" w:rsidTr="00BD7B39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Tytuł należności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Kwota umorzenia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Fundusz alimentacyjny</w:t>
            </w:r>
            <w:r w:rsidR="000A01A2">
              <w:t xml:space="preserve"> 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 xml:space="preserve"> 45.122,58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Odsetki od funduszu alimentacyjnego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18.442,67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3.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fizyczne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Zaliczka alimentacyjna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7.746,27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4.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prawne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 xml:space="preserve">Brak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0,00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60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right"/>
            </w:pPr>
            <w:r>
              <w:t>Razem: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0A01A2" w:rsidP="00BD7B39">
            <w:pPr>
              <w:pStyle w:val="Zawartotabeli"/>
              <w:snapToGrid w:val="0"/>
              <w:jc w:val="center"/>
            </w:pPr>
            <w:r>
              <w:t xml:space="preserve"> 71.311,52</w:t>
            </w:r>
          </w:p>
        </w:tc>
      </w:tr>
    </w:tbl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eastAsia="Tahoma" w:cs="Tahoma"/>
        </w:rPr>
      </w:pPr>
    </w:p>
    <w:p w:rsidR="00BF61C6" w:rsidRDefault="00BF61C6" w:rsidP="00BF61C6">
      <w:pPr>
        <w:jc w:val="both"/>
      </w:pPr>
      <w:r>
        <w:t xml:space="preserve">                                              </w:t>
      </w:r>
    </w:p>
    <w:p w:rsidR="00BF61C6" w:rsidRDefault="00BF61C6" w:rsidP="00BF61C6">
      <w:pPr>
        <w:pStyle w:val="Nagwek1"/>
        <w:numPr>
          <w:ilvl w:val="0"/>
          <w:numId w:val="2"/>
        </w:numPr>
        <w:jc w:val="both"/>
        <w:rPr>
          <w:rFonts w:cs="Arial"/>
          <w:b w:val="0"/>
        </w:rPr>
      </w:pPr>
    </w:p>
    <w:p w:rsidR="00BF61C6" w:rsidRDefault="00BF61C6" w:rsidP="00BF61C6">
      <w:pPr>
        <w:pStyle w:val="Nagwek1"/>
        <w:numPr>
          <w:ilvl w:val="0"/>
          <w:numId w:val="2"/>
        </w:numPr>
        <w:jc w:val="both"/>
      </w:pPr>
      <w:r>
        <w:rPr>
          <w:rFonts w:cs="Arial"/>
          <w:b w:val="0"/>
        </w:rPr>
        <w:t>Milejewo,</w:t>
      </w:r>
      <w:r w:rsidR="00D521EA">
        <w:rPr>
          <w:rFonts w:cs="Arial"/>
          <w:b w:val="0"/>
        </w:rPr>
        <w:t xml:space="preserve"> dnia 2</w:t>
      </w:r>
      <w:r w:rsidR="000A01A2">
        <w:rPr>
          <w:rFonts w:cs="Arial"/>
          <w:b w:val="0"/>
        </w:rPr>
        <w:t>5</w:t>
      </w:r>
      <w:r>
        <w:rPr>
          <w:rFonts w:cs="Arial"/>
          <w:b w:val="0"/>
        </w:rPr>
        <w:t>.</w:t>
      </w:r>
      <w:r w:rsidR="00D521EA">
        <w:rPr>
          <w:rFonts w:cs="Arial"/>
          <w:b w:val="0"/>
        </w:rPr>
        <w:t>04</w:t>
      </w:r>
      <w:r>
        <w:rPr>
          <w:rFonts w:cs="Arial"/>
          <w:b w:val="0"/>
        </w:rPr>
        <w:t>.201</w:t>
      </w:r>
      <w:r w:rsidR="00D521EA">
        <w:rPr>
          <w:rFonts w:cs="Arial"/>
          <w:b w:val="0"/>
        </w:rPr>
        <w:t>9</w:t>
      </w:r>
      <w:r>
        <w:rPr>
          <w:rFonts w:cs="Arial"/>
          <w:b w:val="0"/>
        </w:rPr>
        <w:t xml:space="preserve"> r.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C214AE">
        <w:rPr>
          <w:sz w:val="24"/>
          <w:szCs w:val="24"/>
        </w:rPr>
        <w:t>Wójt Gminy Milejewo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 w:rsidRPr="00C214AE">
        <w:rPr>
          <w:sz w:val="24"/>
          <w:szCs w:val="24"/>
        </w:rPr>
        <w:t>Szumała</w:t>
      </w:r>
      <w:proofErr w:type="spellEnd"/>
      <w:r w:rsidRPr="00C214AE">
        <w:rPr>
          <w:sz w:val="24"/>
          <w:szCs w:val="24"/>
        </w:rPr>
        <w:t xml:space="preserve"> 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Default="00BF61C6" w:rsidP="00BF61C6">
      <w:pPr>
        <w:jc w:val="both"/>
        <w:rPr>
          <w:rFonts w:cs="Arial"/>
          <w:b/>
        </w:rPr>
      </w:pPr>
    </w:p>
    <w:p w:rsidR="00BF61C6" w:rsidRPr="00996EDB" w:rsidRDefault="00BF61C6" w:rsidP="00BF61C6">
      <w:pPr>
        <w:rPr>
          <w:sz w:val="24"/>
          <w:szCs w:val="24"/>
        </w:rPr>
      </w:pPr>
    </w:p>
    <w:p w:rsidR="00BF61C6" w:rsidRDefault="00BF61C6"/>
    <w:sectPr w:rsidR="00BF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A01A2"/>
    <w:rsid w:val="00336B0F"/>
    <w:rsid w:val="003E2CDC"/>
    <w:rsid w:val="00482409"/>
    <w:rsid w:val="005A1414"/>
    <w:rsid w:val="008E3F79"/>
    <w:rsid w:val="009B14E8"/>
    <w:rsid w:val="00B27270"/>
    <w:rsid w:val="00B7293F"/>
    <w:rsid w:val="00BF61C6"/>
    <w:rsid w:val="00D376A8"/>
    <w:rsid w:val="00D521EA"/>
    <w:rsid w:val="00D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2019-04-30T08:44:00Z</cp:lastPrinted>
  <dcterms:created xsi:type="dcterms:W3CDTF">2020-05-12T05:40:00Z</dcterms:created>
  <dcterms:modified xsi:type="dcterms:W3CDTF">2020-05-12T05:40:00Z</dcterms:modified>
</cp:coreProperties>
</file>