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Pr="00D772CB" w:rsidRDefault="007C4C58" w:rsidP="00472A2E">
      <w:pPr>
        <w:jc w:val="center"/>
        <w:rPr>
          <w:rFonts w:ascii="Times New Roman" w:eastAsia="Times New Roman" w:hAnsi="Times New Roman"/>
          <w:b/>
          <w:sz w:val="24"/>
          <w:szCs w:val="24"/>
        </w:rPr>
      </w:pPr>
      <w:r>
        <w:rPr>
          <w:rFonts w:ascii="Times New Roman" w:eastAsia="Times New Roman" w:hAnsi="Times New Roman"/>
          <w:b/>
          <w:sz w:val="24"/>
          <w:szCs w:val="24"/>
        </w:rPr>
        <w:t>Uchwała N</w:t>
      </w:r>
      <w:r w:rsidR="008E0692">
        <w:rPr>
          <w:rFonts w:ascii="Times New Roman" w:eastAsia="Times New Roman" w:hAnsi="Times New Roman"/>
          <w:b/>
          <w:sz w:val="24"/>
          <w:szCs w:val="24"/>
        </w:rPr>
        <w:t>r XIX/130/</w:t>
      </w:r>
      <w:r w:rsidR="00472A2E" w:rsidRPr="00D772CB">
        <w:rPr>
          <w:rFonts w:ascii="Times New Roman" w:eastAsia="Times New Roman" w:hAnsi="Times New Roman"/>
          <w:b/>
          <w:sz w:val="24"/>
          <w:szCs w:val="24"/>
        </w:rPr>
        <w:t>2021</w:t>
      </w:r>
    </w:p>
    <w:p w:rsidR="00472A2E" w:rsidRPr="00D772CB" w:rsidRDefault="00472A2E" w:rsidP="00472A2E">
      <w:pPr>
        <w:jc w:val="center"/>
        <w:rPr>
          <w:rFonts w:ascii="Times New Roman" w:eastAsia="Times New Roman" w:hAnsi="Times New Roman"/>
          <w:sz w:val="24"/>
          <w:szCs w:val="24"/>
        </w:rPr>
      </w:pPr>
    </w:p>
    <w:p w:rsidR="00472A2E" w:rsidRPr="00D772CB" w:rsidRDefault="00472A2E" w:rsidP="00472A2E">
      <w:pPr>
        <w:jc w:val="center"/>
        <w:rPr>
          <w:rFonts w:ascii="Times New Roman" w:eastAsia="Times New Roman" w:hAnsi="Times New Roman"/>
          <w:b/>
          <w:sz w:val="24"/>
          <w:szCs w:val="24"/>
        </w:rPr>
      </w:pPr>
      <w:r w:rsidRPr="00D772CB">
        <w:rPr>
          <w:rFonts w:ascii="Times New Roman" w:eastAsia="Times New Roman" w:hAnsi="Times New Roman"/>
          <w:b/>
          <w:sz w:val="24"/>
          <w:szCs w:val="24"/>
        </w:rPr>
        <w:t>Rady Gminy Milejewo</w:t>
      </w:r>
    </w:p>
    <w:p w:rsidR="00472A2E" w:rsidRPr="00D772CB" w:rsidRDefault="00472A2E" w:rsidP="00472A2E">
      <w:pPr>
        <w:jc w:val="center"/>
        <w:rPr>
          <w:rFonts w:ascii="Times New Roman" w:eastAsia="Times New Roman" w:hAnsi="Times New Roman"/>
          <w:sz w:val="24"/>
          <w:szCs w:val="24"/>
        </w:rPr>
      </w:pPr>
    </w:p>
    <w:p w:rsidR="00472A2E" w:rsidRPr="008E0692" w:rsidRDefault="008E0692" w:rsidP="00472A2E">
      <w:pPr>
        <w:jc w:val="center"/>
        <w:rPr>
          <w:rFonts w:ascii="Times New Roman" w:eastAsia="Times New Roman" w:hAnsi="Times New Roman"/>
          <w:b/>
          <w:bCs/>
          <w:sz w:val="24"/>
          <w:szCs w:val="24"/>
        </w:rPr>
      </w:pPr>
      <w:r w:rsidRPr="008E0692">
        <w:rPr>
          <w:rFonts w:ascii="Times New Roman" w:eastAsia="Times New Roman" w:hAnsi="Times New Roman"/>
          <w:b/>
          <w:bCs/>
          <w:sz w:val="24"/>
          <w:szCs w:val="24"/>
        </w:rPr>
        <w:t xml:space="preserve">z dnia 18 marca </w:t>
      </w:r>
      <w:r w:rsidR="00472A2E" w:rsidRPr="008E0692">
        <w:rPr>
          <w:rFonts w:ascii="Times New Roman" w:eastAsia="Times New Roman" w:hAnsi="Times New Roman"/>
          <w:b/>
          <w:bCs/>
          <w:sz w:val="24"/>
          <w:szCs w:val="24"/>
        </w:rPr>
        <w:t>2021r.</w:t>
      </w:r>
    </w:p>
    <w:p w:rsidR="00472A2E" w:rsidRPr="00D772CB" w:rsidRDefault="00472A2E" w:rsidP="00472A2E">
      <w:pPr>
        <w:jc w:val="center"/>
        <w:rPr>
          <w:rFonts w:ascii="Times New Roman" w:eastAsia="Times New Roman" w:hAnsi="Times New Roman"/>
          <w:sz w:val="24"/>
          <w:szCs w:val="24"/>
        </w:rPr>
      </w:pPr>
    </w:p>
    <w:p w:rsidR="00472A2E" w:rsidRPr="00D772CB" w:rsidRDefault="00472A2E" w:rsidP="00472A2E">
      <w:pPr>
        <w:jc w:val="center"/>
        <w:rPr>
          <w:rFonts w:ascii="Times New Roman" w:eastAsia="Times New Roman" w:hAnsi="Times New Roman"/>
          <w:b/>
          <w:sz w:val="24"/>
          <w:szCs w:val="24"/>
        </w:rPr>
      </w:pPr>
      <w:r w:rsidRPr="00D772CB">
        <w:rPr>
          <w:rFonts w:ascii="Times New Roman" w:eastAsia="Times New Roman" w:hAnsi="Times New Roman"/>
          <w:b/>
          <w:sz w:val="24"/>
          <w:szCs w:val="24"/>
        </w:rPr>
        <w:t xml:space="preserve">w sprawie rozpatrzenia petycji </w:t>
      </w:r>
      <w:r w:rsidRPr="00B80ACF">
        <w:rPr>
          <w:rFonts w:ascii="Times New Roman" w:eastAsia="Times New Roman" w:hAnsi="Times New Roman"/>
          <w:b/>
          <w:sz w:val="24"/>
          <w:szCs w:val="24"/>
        </w:rPr>
        <w:t>wielokrotnej</w:t>
      </w: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7B00CA">
      <w:pPr>
        <w:ind w:left="20" w:right="20" w:firstLine="227"/>
        <w:jc w:val="both"/>
        <w:rPr>
          <w:rFonts w:ascii="Times New Roman" w:eastAsia="Times New Roman" w:hAnsi="Times New Roman"/>
          <w:sz w:val="24"/>
          <w:szCs w:val="24"/>
        </w:rPr>
      </w:pPr>
      <w:r w:rsidRPr="00D772CB">
        <w:rPr>
          <w:rFonts w:ascii="Times New Roman" w:eastAsia="Times New Roman" w:hAnsi="Times New Roman"/>
          <w:sz w:val="24"/>
          <w:szCs w:val="24"/>
        </w:rPr>
        <w:t>Na podstawie art. 18 ust. 2 pkt 15 ustawy z dnia 8 marca 1990</w:t>
      </w:r>
      <w:r w:rsidR="007B00CA">
        <w:rPr>
          <w:rFonts w:ascii="Times New Roman" w:eastAsia="Times New Roman" w:hAnsi="Times New Roman"/>
          <w:sz w:val="24"/>
          <w:szCs w:val="24"/>
        </w:rPr>
        <w:t xml:space="preserve"> r. o samorządzie gminnym (</w:t>
      </w:r>
      <w:r w:rsidRPr="00D772CB">
        <w:rPr>
          <w:rFonts w:ascii="Times New Roman" w:eastAsia="Times New Roman" w:hAnsi="Times New Roman"/>
          <w:sz w:val="24"/>
          <w:szCs w:val="24"/>
        </w:rPr>
        <w:t xml:space="preserve">Dz.U. z 2020 r. poz. 713 </w:t>
      </w:r>
      <w:r w:rsidR="007B00CA">
        <w:rPr>
          <w:rFonts w:ascii="Times New Roman" w:eastAsia="Times New Roman" w:hAnsi="Times New Roman"/>
          <w:sz w:val="24"/>
          <w:szCs w:val="24"/>
        </w:rPr>
        <w:t xml:space="preserve">ze </w:t>
      </w:r>
      <w:r w:rsidRPr="00D772CB">
        <w:rPr>
          <w:rFonts w:ascii="Times New Roman" w:eastAsia="Times New Roman" w:hAnsi="Times New Roman"/>
          <w:sz w:val="24"/>
          <w:szCs w:val="24"/>
        </w:rPr>
        <w:t xml:space="preserve">zm.) oraz art. 9 ust. 2 i art. 11 ustawy z dnia 11 lipca 2014 r. </w:t>
      </w:r>
      <w:r w:rsidR="007B00CA">
        <w:rPr>
          <w:rFonts w:ascii="Times New Roman" w:eastAsia="Times New Roman" w:hAnsi="Times New Roman"/>
          <w:sz w:val="24"/>
          <w:szCs w:val="24"/>
        </w:rPr>
        <w:br/>
        <w:t xml:space="preserve">o petycjach (Dz. U. z 2018r. poz. 870) </w:t>
      </w:r>
      <w:r w:rsidRPr="00D772CB">
        <w:rPr>
          <w:rFonts w:ascii="Times New Roman" w:eastAsia="Times New Roman" w:hAnsi="Times New Roman"/>
          <w:sz w:val="24"/>
          <w:szCs w:val="24"/>
        </w:rPr>
        <w:t>Rada Gminy Milejewo uchwala, co następuje:</w:t>
      </w:r>
      <w:r>
        <w:rPr>
          <w:rFonts w:ascii="Times New Roman" w:eastAsia="Times New Roman" w:hAnsi="Times New Roman"/>
          <w:sz w:val="24"/>
          <w:szCs w:val="24"/>
        </w:rPr>
        <w:t xml:space="preserve"> </w:t>
      </w: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Pr="00D772CB" w:rsidRDefault="00472A2E" w:rsidP="0096479F">
      <w:pPr>
        <w:tabs>
          <w:tab w:val="left" w:pos="525"/>
        </w:tabs>
        <w:ind w:right="20"/>
        <w:jc w:val="both"/>
        <w:rPr>
          <w:rFonts w:ascii="Times New Roman" w:eastAsia="Times New Roman" w:hAnsi="Times New Roman"/>
          <w:b/>
          <w:sz w:val="24"/>
          <w:szCs w:val="24"/>
        </w:rPr>
      </w:pPr>
      <w:r w:rsidRPr="005261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6187">
        <w:rPr>
          <w:rFonts w:ascii="Times New Roman" w:eastAsia="Times New Roman" w:hAnsi="Times New Roman"/>
          <w:b/>
          <w:bCs/>
          <w:sz w:val="24"/>
          <w:szCs w:val="24"/>
        </w:rPr>
        <w:t>1.</w:t>
      </w:r>
      <w:r>
        <w:rPr>
          <w:rFonts w:ascii="Times New Roman" w:eastAsia="Times New Roman" w:hAnsi="Times New Roman"/>
          <w:sz w:val="24"/>
          <w:szCs w:val="24"/>
        </w:rPr>
        <w:t xml:space="preserve"> </w:t>
      </w:r>
      <w:r w:rsidRPr="00D772CB">
        <w:rPr>
          <w:rFonts w:ascii="Times New Roman" w:eastAsia="Times New Roman" w:hAnsi="Times New Roman"/>
          <w:sz w:val="24"/>
          <w:szCs w:val="24"/>
        </w:rPr>
        <w:t xml:space="preserve">Po rozpatrzeniu petycji </w:t>
      </w:r>
      <w:r w:rsidR="00A85CB3">
        <w:rPr>
          <w:rFonts w:ascii="Times New Roman" w:eastAsia="Times New Roman" w:hAnsi="Times New Roman"/>
          <w:sz w:val="24"/>
          <w:szCs w:val="24"/>
        </w:rPr>
        <w:t xml:space="preserve">wielokrotnej </w:t>
      </w:r>
      <w:r w:rsidRPr="00D772CB">
        <w:rPr>
          <w:rFonts w:ascii="Times New Roman" w:eastAsia="Times New Roman" w:hAnsi="Times New Roman"/>
          <w:sz w:val="24"/>
          <w:szCs w:val="24"/>
        </w:rPr>
        <w:t xml:space="preserve">w sprawie szczepień przeciwko wirusowi </w:t>
      </w:r>
      <w:r w:rsidR="0096479F">
        <w:rPr>
          <w:rFonts w:ascii="Times New Roman" w:eastAsia="Times New Roman" w:hAnsi="Times New Roman"/>
          <w:sz w:val="24"/>
          <w:szCs w:val="24"/>
        </w:rPr>
        <w:br/>
      </w:r>
      <w:r w:rsidR="0096479F">
        <w:rPr>
          <w:rFonts w:ascii="Times New Roman" w:eastAsia="Times New Roman" w:hAnsi="Times New Roman"/>
          <w:iCs/>
          <w:sz w:val="24"/>
          <w:szCs w:val="24"/>
        </w:rPr>
        <w:t>SARS-CoV-2 (COVID-19), petycje złożone</w:t>
      </w:r>
      <w:r>
        <w:rPr>
          <w:rFonts w:ascii="Times New Roman" w:eastAsia="Times New Roman" w:hAnsi="Times New Roman"/>
          <w:iCs/>
          <w:sz w:val="24"/>
          <w:szCs w:val="24"/>
        </w:rPr>
        <w:t>:</w:t>
      </w:r>
      <w:r w:rsidRPr="00D772CB">
        <w:rPr>
          <w:rFonts w:ascii="Times New Roman" w:eastAsia="Times New Roman" w:hAnsi="Times New Roman"/>
          <w:iCs/>
          <w:sz w:val="24"/>
          <w:szCs w:val="24"/>
        </w:rPr>
        <w:t xml:space="preserve"> </w:t>
      </w:r>
      <w:r>
        <w:rPr>
          <w:rFonts w:ascii="Times New Roman" w:eastAsia="Times New Roman" w:hAnsi="Times New Roman"/>
          <w:iCs/>
          <w:sz w:val="24"/>
          <w:szCs w:val="24"/>
        </w:rPr>
        <w:t>w dniu</w:t>
      </w:r>
      <w:r w:rsidRPr="00D772CB">
        <w:rPr>
          <w:rFonts w:ascii="Times New Roman" w:eastAsia="Times New Roman" w:hAnsi="Times New Roman"/>
          <w:iCs/>
          <w:sz w:val="24"/>
          <w:szCs w:val="24"/>
        </w:rPr>
        <w:t xml:space="preserve"> 14 grudnia 2020r., </w:t>
      </w:r>
      <w:r>
        <w:rPr>
          <w:rFonts w:ascii="Times New Roman" w:eastAsia="Times New Roman" w:hAnsi="Times New Roman"/>
          <w:iCs/>
          <w:sz w:val="24"/>
          <w:szCs w:val="24"/>
        </w:rPr>
        <w:t xml:space="preserve">w dniu </w:t>
      </w:r>
      <w:r w:rsidRPr="00D772CB">
        <w:rPr>
          <w:rFonts w:ascii="Times New Roman" w:eastAsia="Times New Roman" w:hAnsi="Times New Roman"/>
          <w:iCs/>
          <w:sz w:val="24"/>
          <w:szCs w:val="24"/>
        </w:rPr>
        <w:t xml:space="preserve">15 grudnia 2020r., </w:t>
      </w:r>
      <w:r>
        <w:rPr>
          <w:rFonts w:ascii="Times New Roman" w:eastAsia="Times New Roman" w:hAnsi="Times New Roman"/>
          <w:iCs/>
          <w:sz w:val="24"/>
          <w:szCs w:val="24"/>
        </w:rPr>
        <w:t xml:space="preserve">w dniu </w:t>
      </w:r>
      <w:r w:rsidRPr="00D772CB">
        <w:rPr>
          <w:rFonts w:ascii="Times New Roman" w:eastAsia="Times New Roman" w:hAnsi="Times New Roman"/>
          <w:iCs/>
          <w:sz w:val="24"/>
          <w:szCs w:val="24"/>
        </w:rPr>
        <w:t>5 stycznia 2021 – list otwarty (</w:t>
      </w:r>
      <w:r>
        <w:rPr>
          <w:rFonts w:ascii="Times New Roman" w:eastAsia="Times New Roman" w:hAnsi="Times New Roman"/>
          <w:iCs/>
          <w:sz w:val="24"/>
          <w:szCs w:val="24"/>
        </w:rPr>
        <w:t xml:space="preserve">petycja </w:t>
      </w:r>
      <w:r w:rsidRPr="00D772CB">
        <w:rPr>
          <w:rFonts w:ascii="Times New Roman" w:eastAsia="Times New Roman" w:hAnsi="Times New Roman"/>
          <w:iCs/>
          <w:sz w:val="24"/>
          <w:szCs w:val="24"/>
        </w:rPr>
        <w:t xml:space="preserve">uzupełniona 18 stycznia 2021r.), </w:t>
      </w:r>
      <w:r>
        <w:rPr>
          <w:rFonts w:ascii="Times New Roman" w:eastAsia="Times New Roman" w:hAnsi="Times New Roman"/>
          <w:iCs/>
          <w:sz w:val="24"/>
          <w:szCs w:val="24"/>
        </w:rPr>
        <w:t xml:space="preserve">w dniu </w:t>
      </w:r>
      <w:r w:rsidRPr="00D772CB">
        <w:rPr>
          <w:rFonts w:ascii="Times New Roman" w:eastAsia="Times New Roman" w:hAnsi="Times New Roman"/>
          <w:iCs/>
          <w:sz w:val="24"/>
          <w:szCs w:val="24"/>
        </w:rPr>
        <w:t xml:space="preserve">1 lutego 2021r., </w:t>
      </w:r>
      <w:r>
        <w:rPr>
          <w:rFonts w:ascii="Times New Roman" w:eastAsia="Times New Roman" w:hAnsi="Times New Roman"/>
          <w:iCs/>
          <w:sz w:val="24"/>
          <w:szCs w:val="24"/>
        </w:rPr>
        <w:t xml:space="preserve">w dniu </w:t>
      </w:r>
      <w:r w:rsidRPr="00D772CB">
        <w:rPr>
          <w:rFonts w:ascii="Times New Roman" w:eastAsia="Times New Roman" w:hAnsi="Times New Roman"/>
          <w:iCs/>
          <w:sz w:val="24"/>
          <w:szCs w:val="24"/>
        </w:rPr>
        <w:t xml:space="preserve">4 lutego 2021r., </w:t>
      </w:r>
      <w:r>
        <w:rPr>
          <w:rFonts w:ascii="Times New Roman" w:eastAsia="Times New Roman" w:hAnsi="Times New Roman"/>
          <w:iCs/>
          <w:sz w:val="24"/>
          <w:szCs w:val="24"/>
        </w:rPr>
        <w:t xml:space="preserve">w dniu </w:t>
      </w:r>
      <w:r w:rsidRPr="00D772CB">
        <w:rPr>
          <w:rFonts w:ascii="Times New Roman" w:eastAsia="Times New Roman" w:hAnsi="Times New Roman"/>
          <w:iCs/>
          <w:sz w:val="24"/>
          <w:szCs w:val="24"/>
        </w:rPr>
        <w:t>8 lutego 2021r. (petycja wycofana</w:t>
      </w:r>
      <w:r>
        <w:rPr>
          <w:rFonts w:ascii="Times New Roman" w:eastAsia="Times New Roman" w:hAnsi="Times New Roman"/>
          <w:iCs/>
          <w:sz w:val="24"/>
          <w:szCs w:val="24"/>
        </w:rPr>
        <w:t xml:space="preserve"> przez wnoszącego</w:t>
      </w:r>
      <w:r w:rsidRPr="00D772CB">
        <w:rPr>
          <w:rFonts w:ascii="Times New Roman" w:eastAsia="Times New Roman" w:hAnsi="Times New Roman"/>
          <w:iCs/>
          <w:sz w:val="24"/>
          <w:szCs w:val="24"/>
        </w:rPr>
        <w:t xml:space="preserve"> dnia 17 lutego 2021r.) Rada Gminy Milejewo uznaje</w:t>
      </w:r>
      <w:r w:rsidRPr="00D772CB">
        <w:rPr>
          <w:rFonts w:ascii="Times New Roman" w:eastAsia="Times New Roman" w:hAnsi="Times New Roman"/>
          <w:i/>
          <w:sz w:val="24"/>
          <w:szCs w:val="24"/>
        </w:rPr>
        <w:t xml:space="preserve"> </w:t>
      </w:r>
      <w:r w:rsidR="00A82FDC">
        <w:rPr>
          <w:rFonts w:ascii="Times New Roman" w:eastAsia="Times New Roman" w:hAnsi="Times New Roman"/>
          <w:sz w:val="24"/>
          <w:szCs w:val="24"/>
        </w:rPr>
        <w:t xml:space="preserve">przedmiotową petycję wielokrotną za bezzasadną </w:t>
      </w:r>
      <w:r w:rsidRPr="00D772CB">
        <w:rPr>
          <w:rFonts w:ascii="Times New Roman" w:eastAsia="Times New Roman" w:hAnsi="Times New Roman"/>
          <w:sz w:val="24"/>
          <w:szCs w:val="24"/>
        </w:rPr>
        <w:t>z przyczyn wskazanych w uzasadnieniu.</w:t>
      </w:r>
    </w:p>
    <w:p w:rsidR="00472A2E" w:rsidRPr="00D772CB" w:rsidRDefault="00472A2E" w:rsidP="00472A2E">
      <w:pPr>
        <w:tabs>
          <w:tab w:val="left" w:pos="520"/>
        </w:tabs>
        <w:jc w:val="both"/>
        <w:rPr>
          <w:rFonts w:ascii="Times New Roman" w:eastAsia="Times New Roman" w:hAnsi="Times New Roman"/>
          <w:b/>
          <w:sz w:val="24"/>
          <w:szCs w:val="24"/>
        </w:rPr>
      </w:pPr>
      <w:r w:rsidRPr="005261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6187">
        <w:rPr>
          <w:rFonts w:ascii="Times New Roman" w:eastAsia="Times New Roman" w:hAnsi="Times New Roman"/>
          <w:b/>
          <w:bCs/>
          <w:sz w:val="24"/>
          <w:szCs w:val="24"/>
        </w:rPr>
        <w:t>2.</w:t>
      </w:r>
      <w:r>
        <w:rPr>
          <w:rFonts w:ascii="Times New Roman" w:eastAsia="Times New Roman" w:hAnsi="Times New Roman"/>
          <w:sz w:val="24"/>
          <w:szCs w:val="24"/>
        </w:rPr>
        <w:t xml:space="preserve"> </w:t>
      </w:r>
      <w:r w:rsidRPr="00D772CB">
        <w:rPr>
          <w:rFonts w:ascii="Times New Roman" w:eastAsia="Times New Roman" w:hAnsi="Times New Roman"/>
          <w:sz w:val="24"/>
          <w:szCs w:val="24"/>
        </w:rPr>
        <w:t>Uzasadnienie stanowiska Rady Gminy Milejewo stanowi</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załącznik</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do niniejszej</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uchwały.</w:t>
      </w:r>
    </w:p>
    <w:p w:rsidR="00472A2E" w:rsidRPr="00526187" w:rsidRDefault="00472A2E" w:rsidP="0027464F">
      <w:pPr>
        <w:tabs>
          <w:tab w:val="left" w:pos="525"/>
        </w:tabs>
        <w:ind w:right="20"/>
        <w:jc w:val="both"/>
        <w:rPr>
          <w:rFonts w:ascii="Times New Roman" w:eastAsia="Times New Roman" w:hAnsi="Times New Roman"/>
          <w:b/>
          <w:color w:val="FF0000"/>
          <w:sz w:val="24"/>
          <w:szCs w:val="24"/>
        </w:rPr>
      </w:pPr>
      <w:r w:rsidRPr="005261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6187">
        <w:rPr>
          <w:rFonts w:ascii="Times New Roman" w:eastAsia="Times New Roman" w:hAnsi="Times New Roman"/>
          <w:b/>
          <w:bCs/>
          <w:sz w:val="24"/>
          <w:szCs w:val="24"/>
        </w:rPr>
        <w:t>3</w:t>
      </w:r>
      <w:r>
        <w:rPr>
          <w:rFonts w:ascii="Times New Roman" w:eastAsia="Times New Roman" w:hAnsi="Times New Roman"/>
          <w:sz w:val="24"/>
          <w:szCs w:val="24"/>
        </w:rPr>
        <w:t xml:space="preserve">. </w:t>
      </w:r>
      <w:r w:rsidRPr="00D772CB">
        <w:rPr>
          <w:rFonts w:ascii="Times New Roman" w:eastAsia="Times New Roman" w:hAnsi="Times New Roman"/>
          <w:sz w:val="24"/>
          <w:szCs w:val="24"/>
        </w:rPr>
        <w:t>Wykonanie</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uchwały</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powierza</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się Przewodniczącemu</w:t>
      </w:r>
      <w:r w:rsidRPr="00D772CB">
        <w:rPr>
          <w:rFonts w:ascii="Times New Roman" w:eastAsia="Times New Roman" w:hAnsi="Times New Roman"/>
          <w:b/>
          <w:sz w:val="24"/>
          <w:szCs w:val="24"/>
        </w:rPr>
        <w:t xml:space="preserve"> </w:t>
      </w:r>
      <w:r w:rsidR="0027464F">
        <w:rPr>
          <w:rFonts w:ascii="Times New Roman" w:eastAsia="Times New Roman" w:hAnsi="Times New Roman"/>
          <w:sz w:val="24"/>
          <w:szCs w:val="24"/>
        </w:rPr>
        <w:t>Rady Gminy Milejewo.</w:t>
      </w:r>
    </w:p>
    <w:p w:rsidR="00472A2E" w:rsidRDefault="00472A2E" w:rsidP="00472A2E">
      <w:pPr>
        <w:tabs>
          <w:tab w:val="left" w:pos="520"/>
        </w:tabs>
        <w:jc w:val="both"/>
        <w:rPr>
          <w:rFonts w:ascii="Times New Roman" w:eastAsia="Times New Roman" w:hAnsi="Times New Roman"/>
          <w:b/>
          <w:sz w:val="24"/>
          <w:szCs w:val="24"/>
        </w:rPr>
      </w:pPr>
      <w:r w:rsidRPr="005261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6187">
        <w:rPr>
          <w:rFonts w:ascii="Times New Roman" w:eastAsia="Times New Roman" w:hAnsi="Times New Roman"/>
          <w:b/>
          <w:bCs/>
          <w:sz w:val="24"/>
          <w:szCs w:val="24"/>
        </w:rPr>
        <w:t>4.</w:t>
      </w:r>
      <w:r>
        <w:rPr>
          <w:rFonts w:ascii="Times New Roman" w:eastAsia="Times New Roman" w:hAnsi="Times New Roman"/>
          <w:sz w:val="24"/>
          <w:szCs w:val="24"/>
        </w:rPr>
        <w:t xml:space="preserve"> </w:t>
      </w:r>
      <w:r w:rsidRPr="00D772CB">
        <w:rPr>
          <w:rFonts w:ascii="Times New Roman" w:eastAsia="Times New Roman" w:hAnsi="Times New Roman"/>
          <w:sz w:val="24"/>
          <w:szCs w:val="24"/>
        </w:rPr>
        <w:t>Uchwała</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wchodzi w</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życie</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z dniem</w:t>
      </w:r>
      <w:r w:rsidRPr="00D772CB">
        <w:rPr>
          <w:rFonts w:ascii="Times New Roman" w:eastAsia="Times New Roman" w:hAnsi="Times New Roman"/>
          <w:b/>
          <w:sz w:val="24"/>
          <w:szCs w:val="24"/>
        </w:rPr>
        <w:t xml:space="preserve"> </w:t>
      </w:r>
      <w:r w:rsidRPr="00D772CB">
        <w:rPr>
          <w:rFonts w:ascii="Times New Roman" w:eastAsia="Times New Roman" w:hAnsi="Times New Roman"/>
          <w:sz w:val="24"/>
          <w:szCs w:val="24"/>
        </w:rPr>
        <w:t>podjęcia.</w:t>
      </w:r>
    </w:p>
    <w:p w:rsidR="00472A2E" w:rsidRDefault="00472A2E" w:rsidP="00ED1E3F">
      <w:pPr>
        <w:ind w:right="-439"/>
        <w:rPr>
          <w:rFonts w:ascii="Times New Roman" w:eastAsia="Times New Roman" w:hAnsi="Times New Roman"/>
          <w:b/>
          <w:sz w:val="24"/>
          <w:szCs w:val="24"/>
        </w:rPr>
      </w:pPr>
      <w:bookmarkStart w:id="0" w:name="_GoBack"/>
      <w:bookmarkEnd w:id="0"/>
    </w:p>
    <w:p w:rsidR="00442BBC" w:rsidRDefault="00442BBC" w:rsidP="00442BBC">
      <w:pPr>
        <w:pStyle w:val="Normal0"/>
        <w:tabs>
          <w:tab w:val="left" w:pos="5670"/>
        </w:tabs>
        <w:spacing w:before="120" w:after="120"/>
        <w:ind w:left="5664"/>
        <w:jc w:val="left"/>
        <w:rPr>
          <w:sz w:val="24"/>
          <w:szCs w:val="24"/>
          <w:lang w:val="x-none"/>
        </w:rPr>
      </w:pPr>
      <w:r>
        <w:rPr>
          <w:i/>
          <w:iCs/>
          <w:sz w:val="24"/>
          <w:szCs w:val="24"/>
        </w:rPr>
        <w:t>Przewodniczący Rady Gminy</w:t>
      </w:r>
      <w:r>
        <w:rPr>
          <w:i/>
          <w:iCs/>
          <w:sz w:val="24"/>
          <w:szCs w:val="24"/>
        </w:rPr>
        <w:br/>
        <w:t xml:space="preserve">         Zbigniew  Banach</w:t>
      </w:r>
      <w:r>
        <w:rPr>
          <w:b/>
          <w:bCs/>
          <w:sz w:val="24"/>
          <w:szCs w:val="24"/>
        </w:rPr>
        <w:t xml:space="preserve">   </w:t>
      </w: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442BBC">
      <w:pPr>
        <w:tabs>
          <w:tab w:val="left" w:pos="5670"/>
        </w:tabs>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5031C" w:rsidRDefault="0045031C"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B84278" w:rsidRDefault="00B84278" w:rsidP="00ED1E3F">
      <w:pPr>
        <w:ind w:right="-439"/>
        <w:rPr>
          <w:rFonts w:ascii="Times New Roman" w:eastAsia="Times New Roman" w:hAnsi="Times New Roman"/>
          <w:b/>
          <w:sz w:val="24"/>
          <w:szCs w:val="24"/>
        </w:rPr>
      </w:pPr>
    </w:p>
    <w:p w:rsidR="00472A2E" w:rsidRDefault="00472A2E" w:rsidP="00ED1E3F">
      <w:pPr>
        <w:ind w:right="-439"/>
        <w:rPr>
          <w:rFonts w:ascii="Times New Roman" w:eastAsia="Times New Roman" w:hAnsi="Times New Roman"/>
          <w:b/>
          <w:sz w:val="24"/>
          <w:szCs w:val="24"/>
        </w:rPr>
      </w:pPr>
    </w:p>
    <w:p w:rsidR="00B5773B" w:rsidRDefault="00B5773B" w:rsidP="00ED1E3F">
      <w:pPr>
        <w:ind w:left="5664"/>
        <w:jc w:val="both"/>
        <w:rPr>
          <w:rFonts w:ascii="Times New Roman" w:eastAsia="Times New Roman" w:hAnsi="Times New Roman"/>
          <w:sz w:val="18"/>
          <w:szCs w:val="18"/>
        </w:rPr>
      </w:pPr>
    </w:p>
    <w:p w:rsidR="00ED1E3F" w:rsidRPr="001D00BF" w:rsidRDefault="00ED1E3F" w:rsidP="00ED1E3F">
      <w:pPr>
        <w:ind w:left="5664"/>
        <w:jc w:val="both"/>
        <w:rPr>
          <w:rFonts w:ascii="Times New Roman" w:eastAsia="Times New Roman" w:hAnsi="Times New Roman"/>
          <w:sz w:val="18"/>
          <w:szCs w:val="18"/>
        </w:rPr>
      </w:pPr>
      <w:r w:rsidRPr="001D00BF">
        <w:rPr>
          <w:rFonts w:ascii="Times New Roman" w:eastAsia="Times New Roman" w:hAnsi="Times New Roman"/>
          <w:sz w:val="18"/>
          <w:szCs w:val="18"/>
        </w:rPr>
        <w:lastRenderedPageBreak/>
        <w:t xml:space="preserve">Załącznik  </w:t>
      </w:r>
    </w:p>
    <w:p w:rsidR="00ED1E3F" w:rsidRPr="001D00BF" w:rsidRDefault="00362CC6" w:rsidP="00ED1E3F">
      <w:pPr>
        <w:ind w:left="5664"/>
        <w:jc w:val="both"/>
        <w:rPr>
          <w:rFonts w:ascii="Times New Roman" w:eastAsia="Times New Roman" w:hAnsi="Times New Roman"/>
          <w:sz w:val="18"/>
          <w:szCs w:val="18"/>
        </w:rPr>
      </w:pPr>
      <w:r>
        <w:rPr>
          <w:rFonts w:ascii="Times New Roman" w:eastAsia="Times New Roman" w:hAnsi="Times New Roman"/>
          <w:sz w:val="18"/>
          <w:szCs w:val="18"/>
        </w:rPr>
        <w:t>do Uchwały N</w:t>
      </w:r>
      <w:r w:rsidR="008E0692">
        <w:rPr>
          <w:rFonts w:ascii="Times New Roman" w:eastAsia="Times New Roman" w:hAnsi="Times New Roman"/>
          <w:sz w:val="18"/>
          <w:szCs w:val="18"/>
        </w:rPr>
        <w:t>r XIX/130/</w:t>
      </w:r>
      <w:r w:rsidR="00ED1E3F" w:rsidRPr="001D00BF">
        <w:rPr>
          <w:rFonts w:ascii="Times New Roman" w:eastAsia="Times New Roman" w:hAnsi="Times New Roman"/>
          <w:sz w:val="18"/>
          <w:szCs w:val="18"/>
        </w:rPr>
        <w:t>2021</w:t>
      </w:r>
    </w:p>
    <w:p w:rsidR="00ED1E3F" w:rsidRPr="001D00BF" w:rsidRDefault="00ED1E3F" w:rsidP="00ED1E3F">
      <w:pPr>
        <w:ind w:left="5664"/>
        <w:rPr>
          <w:rFonts w:ascii="Times New Roman" w:eastAsia="Times New Roman" w:hAnsi="Times New Roman"/>
          <w:sz w:val="18"/>
          <w:szCs w:val="18"/>
        </w:rPr>
      </w:pPr>
      <w:r w:rsidRPr="001D00BF">
        <w:rPr>
          <w:rFonts w:ascii="Times New Roman" w:eastAsia="Times New Roman" w:hAnsi="Times New Roman"/>
          <w:sz w:val="18"/>
          <w:szCs w:val="18"/>
        </w:rPr>
        <w:t>Rady Gminy Milejewo</w:t>
      </w:r>
    </w:p>
    <w:p w:rsidR="00ED1E3F" w:rsidRPr="001D00BF" w:rsidRDefault="00ED1E3F" w:rsidP="008E0692">
      <w:pPr>
        <w:ind w:left="5664"/>
        <w:rPr>
          <w:rFonts w:ascii="Times New Roman" w:eastAsia="Times New Roman" w:hAnsi="Times New Roman"/>
          <w:sz w:val="18"/>
          <w:szCs w:val="18"/>
        </w:rPr>
      </w:pPr>
      <w:r>
        <w:rPr>
          <w:rFonts w:ascii="Times New Roman" w:eastAsia="Times New Roman" w:hAnsi="Times New Roman"/>
          <w:sz w:val="18"/>
          <w:szCs w:val="18"/>
        </w:rPr>
        <w:t>z</w:t>
      </w:r>
      <w:r w:rsidRPr="001D00BF">
        <w:rPr>
          <w:rFonts w:ascii="Times New Roman" w:eastAsia="Times New Roman" w:hAnsi="Times New Roman"/>
          <w:sz w:val="18"/>
          <w:szCs w:val="18"/>
        </w:rPr>
        <w:t xml:space="preserve"> dnia </w:t>
      </w:r>
      <w:r w:rsidR="008E0692">
        <w:rPr>
          <w:rFonts w:ascii="Times New Roman" w:eastAsia="Times New Roman" w:hAnsi="Times New Roman"/>
          <w:sz w:val="18"/>
          <w:szCs w:val="18"/>
        </w:rPr>
        <w:t>18 marca 2021r.</w:t>
      </w:r>
    </w:p>
    <w:p w:rsidR="00ED1E3F" w:rsidRDefault="00ED1E3F" w:rsidP="00ED1E3F">
      <w:pPr>
        <w:ind w:right="-439"/>
        <w:rPr>
          <w:rFonts w:ascii="Times New Roman" w:eastAsia="Times New Roman" w:hAnsi="Times New Roman"/>
          <w:b/>
          <w:sz w:val="24"/>
          <w:szCs w:val="24"/>
        </w:rPr>
      </w:pPr>
    </w:p>
    <w:p w:rsidR="00ED1E3F" w:rsidRDefault="00ED1E3F" w:rsidP="00ED1E3F">
      <w:pPr>
        <w:ind w:right="-439"/>
        <w:jc w:val="center"/>
        <w:rPr>
          <w:rFonts w:ascii="Times New Roman" w:eastAsia="Times New Roman" w:hAnsi="Times New Roman"/>
          <w:b/>
          <w:sz w:val="24"/>
          <w:szCs w:val="24"/>
        </w:rPr>
      </w:pPr>
    </w:p>
    <w:p w:rsidR="00ED1E3F" w:rsidRPr="006C0527" w:rsidRDefault="00ED1E3F" w:rsidP="00B5773B">
      <w:pPr>
        <w:ind w:right="-439"/>
        <w:jc w:val="center"/>
        <w:rPr>
          <w:rFonts w:ascii="Times New Roman" w:eastAsia="Times New Roman" w:hAnsi="Times New Roman"/>
          <w:b/>
          <w:sz w:val="24"/>
          <w:szCs w:val="24"/>
        </w:rPr>
      </w:pPr>
      <w:r w:rsidRPr="006C0527">
        <w:rPr>
          <w:rFonts w:ascii="Times New Roman" w:eastAsia="Times New Roman" w:hAnsi="Times New Roman"/>
          <w:b/>
          <w:sz w:val="24"/>
          <w:szCs w:val="24"/>
        </w:rPr>
        <w:t xml:space="preserve">Uzasadnienie do </w:t>
      </w:r>
      <w:r w:rsidR="007C4C58">
        <w:rPr>
          <w:rFonts w:ascii="Times New Roman" w:eastAsia="Times New Roman" w:hAnsi="Times New Roman"/>
          <w:b/>
          <w:sz w:val="24"/>
          <w:szCs w:val="24"/>
        </w:rPr>
        <w:t>Uchwały N</w:t>
      </w:r>
      <w:r w:rsidR="008E0692">
        <w:rPr>
          <w:rFonts w:ascii="Times New Roman" w:eastAsia="Times New Roman" w:hAnsi="Times New Roman"/>
          <w:b/>
          <w:sz w:val="24"/>
          <w:szCs w:val="24"/>
        </w:rPr>
        <w:t>r XIX/130/</w:t>
      </w:r>
      <w:r w:rsidRPr="006C0527">
        <w:rPr>
          <w:rFonts w:ascii="Times New Roman" w:eastAsia="Times New Roman" w:hAnsi="Times New Roman"/>
          <w:b/>
          <w:sz w:val="24"/>
          <w:szCs w:val="24"/>
        </w:rPr>
        <w:t>2021</w:t>
      </w:r>
    </w:p>
    <w:p w:rsidR="00ED1E3F" w:rsidRPr="006C0527" w:rsidRDefault="00ED1E3F" w:rsidP="00B5773B">
      <w:pPr>
        <w:jc w:val="center"/>
        <w:rPr>
          <w:rFonts w:ascii="Times New Roman" w:eastAsia="Times New Roman" w:hAnsi="Times New Roman"/>
          <w:b/>
          <w:sz w:val="24"/>
          <w:szCs w:val="24"/>
        </w:rPr>
      </w:pPr>
      <w:r w:rsidRPr="006C0527">
        <w:rPr>
          <w:rFonts w:ascii="Times New Roman" w:eastAsia="Times New Roman" w:hAnsi="Times New Roman"/>
          <w:b/>
          <w:sz w:val="24"/>
          <w:szCs w:val="24"/>
        </w:rPr>
        <w:t>Rady Gminy Milejewo</w:t>
      </w:r>
    </w:p>
    <w:p w:rsidR="00ED1E3F" w:rsidRPr="008E0692" w:rsidRDefault="00ED1E3F" w:rsidP="00B5773B">
      <w:pPr>
        <w:jc w:val="center"/>
        <w:rPr>
          <w:rFonts w:ascii="Times New Roman" w:eastAsia="Times New Roman" w:hAnsi="Times New Roman"/>
          <w:b/>
          <w:bCs/>
          <w:sz w:val="24"/>
          <w:szCs w:val="24"/>
        </w:rPr>
      </w:pPr>
      <w:r w:rsidRPr="008E0692">
        <w:rPr>
          <w:rFonts w:ascii="Times New Roman" w:eastAsia="Times New Roman" w:hAnsi="Times New Roman"/>
          <w:b/>
          <w:bCs/>
          <w:sz w:val="24"/>
          <w:szCs w:val="24"/>
        </w:rPr>
        <w:t>z</w:t>
      </w:r>
      <w:r w:rsidR="008E0692" w:rsidRPr="008E0692">
        <w:rPr>
          <w:rFonts w:ascii="Times New Roman" w:eastAsia="Times New Roman" w:hAnsi="Times New Roman"/>
          <w:b/>
          <w:bCs/>
          <w:sz w:val="24"/>
          <w:szCs w:val="24"/>
        </w:rPr>
        <w:t xml:space="preserve"> dnia 18 marca </w:t>
      </w:r>
      <w:r w:rsidRPr="008E0692">
        <w:rPr>
          <w:rFonts w:ascii="Times New Roman" w:eastAsia="Times New Roman" w:hAnsi="Times New Roman"/>
          <w:b/>
          <w:bCs/>
          <w:sz w:val="24"/>
          <w:szCs w:val="24"/>
        </w:rPr>
        <w:t>2021r.</w:t>
      </w:r>
    </w:p>
    <w:p w:rsidR="00ED1E3F" w:rsidRPr="006C0527" w:rsidRDefault="00ED1E3F" w:rsidP="00B5773B">
      <w:pPr>
        <w:jc w:val="center"/>
        <w:rPr>
          <w:rFonts w:ascii="Times New Roman" w:eastAsia="Times New Roman" w:hAnsi="Times New Roman"/>
          <w:b/>
          <w:sz w:val="24"/>
          <w:szCs w:val="24"/>
        </w:rPr>
      </w:pPr>
      <w:r w:rsidRPr="006C0527">
        <w:rPr>
          <w:rFonts w:ascii="Times New Roman" w:eastAsia="Times New Roman" w:hAnsi="Times New Roman"/>
          <w:b/>
          <w:sz w:val="24"/>
          <w:szCs w:val="24"/>
        </w:rPr>
        <w:t xml:space="preserve">w sprawie rozpatrzenia petycji </w:t>
      </w:r>
      <w:r w:rsidRPr="00B80ACF">
        <w:rPr>
          <w:rFonts w:ascii="Times New Roman" w:eastAsia="Times New Roman" w:hAnsi="Times New Roman"/>
          <w:b/>
          <w:sz w:val="24"/>
          <w:szCs w:val="24"/>
        </w:rPr>
        <w:t>wielokrotnej</w:t>
      </w:r>
    </w:p>
    <w:p w:rsidR="00ED1E3F" w:rsidRDefault="00ED1E3F" w:rsidP="00ED1E3F">
      <w:pPr>
        <w:jc w:val="both"/>
        <w:rPr>
          <w:rFonts w:ascii="Times New Roman" w:eastAsia="Times New Roman" w:hAnsi="Times New Roman"/>
          <w:sz w:val="24"/>
          <w:szCs w:val="24"/>
        </w:rPr>
      </w:pPr>
    </w:p>
    <w:p w:rsidR="00ED1E3F" w:rsidRDefault="00ED1E3F" w:rsidP="00ED1E3F">
      <w:pPr>
        <w:ind w:left="440" w:firstLine="720"/>
        <w:jc w:val="both"/>
        <w:rPr>
          <w:rFonts w:ascii="Times New Roman" w:eastAsia="Times New Roman" w:hAnsi="Times New Roman"/>
          <w:sz w:val="24"/>
          <w:szCs w:val="24"/>
        </w:rPr>
      </w:pPr>
    </w:p>
    <w:p w:rsidR="00ED1E3F" w:rsidRPr="00ED1E3F" w:rsidRDefault="00ED1E3F" w:rsidP="00ED1E3F">
      <w:pPr>
        <w:ind w:left="440" w:firstLine="720"/>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W dniu 14 grudnia 2020r. wpłynęła do Przewodniczącego Rady Gminy Milejewo petycja  w sprawie podjęcia uchwały dotyczącej masowych szczepień przeciwko wirusowi SARS-CoV-2 planowanych od 2021r. W dniu 15 grudnia 2020r. wpłynęła druga petycja o identycznej treści, lecz złożona przez inny podmiot. </w:t>
      </w:r>
    </w:p>
    <w:p w:rsidR="00ED1E3F" w:rsidRPr="00ED1E3F" w:rsidRDefault="00ED1E3F" w:rsidP="00ED1E3F">
      <w:pPr>
        <w:ind w:left="440" w:firstLine="720"/>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Na wspólnym posiedzeniu Komisji Rady Gminy Milejewo w dniu 17 grudnia 2020r. obie petycje zostały rozpatrzone. Z uwagi na tożsamość zagadnienia podnoszonego w obu petycjach zakwalifikowano je jako petycja wielokrotna, </w:t>
      </w:r>
      <w:r>
        <w:rPr>
          <w:rFonts w:ascii="Times New Roman" w:eastAsia="Times New Roman" w:hAnsi="Times New Roman"/>
          <w:sz w:val="24"/>
          <w:szCs w:val="24"/>
        </w:rPr>
        <w:br/>
      </w:r>
      <w:r w:rsidRPr="00ED1E3F">
        <w:rPr>
          <w:rFonts w:ascii="Times New Roman" w:eastAsia="Times New Roman" w:hAnsi="Times New Roman"/>
          <w:sz w:val="24"/>
          <w:szCs w:val="24"/>
        </w:rPr>
        <w:t xml:space="preserve">w rozumieniu art. 11 ust. 1 ustawy z dnia 11 lipca 2014 r. o petycjach (Dz. U. z 2018r. poz. 870) i zarządzono łączne ich rozpatrywanie. Dodatkowo uznano, że rada gminy nie jest kompetentna i władna do podjęcia oczekiwanej uchwały, albowiem zakres przedmiotowy petycji wykracza poza ustawowe kompetencje rady gminy, przewidziane powszechnie obowiązującymi przepisami prawa, w tym zwłaszcza kompetencje przewidziane przepisami ustawy z dnia 8 marca 1990r. o samorządzie gminnym (Dz.U. </w:t>
      </w:r>
      <w:r>
        <w:rPr>
          <w:rFonts w:ascii="Times New Roman" w:eastAsia="Times New Roman" w:hAnsi="Times New Roman"/>
          <w:sz w:val="24"/>
          <w:szCs w:val="24"/>
        </w:rPr>
        <w:br/>
      </w:r>
      <w:r w:rsidRPr="00ED1E3F">
        <w:rPr>
          <w:rFonts w:ascii="Times New Roman" w:eastAsia="Times New Roman" w:hAnsi="Times New Roman"/>
          <w:sz w:val="24"/>
          <w:szCs w:val="24"/>
        </w:rPr>
        <w:t xml:space="preserve">z 2020 r. poz. 713 ze zm.). </w:t>
      </w:r>
    </w:p>
    <w:p w:rsidR="00ED1E3F" w:rsidRPr="00ED1E3F" w:rsidRDefault="00ED1E3F" w:rsidP="00ED1E3F">
      <w:pPr>
        <w:ind w:left="440" w:firstLine="720"/>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Petycje zostały zamieszczone w Biuletynie Informacji Publicznej  Urzędu Gminy Milejewo. W dniu 14 stycznia 2021r. w Biuletynie Informacji Publicznej Urzędu Gminy Milejewo zamieszczone zostało również, stosownie do art. 11 ust. 2 ustawy z dnia </w:t>
      </w:r>
      <w:r>
        <w:rPr>
          <w:rFonts w:ascii="Times New Roman" w:eastAsia="Times New Roman" w:hAnsi="Times New Roman"/>
          <w:sz w:val="24"/>
          <w:szCs w:val="24"/>
        </w:rPr>
        <w:br/>
      </w:r>
      <w:r w:rsidRPr="00ED1E3F">
        <w:rPr>
          <w:rFonts w:ascii="Times New Roman" w:eastAsia="Times New Roman" w:hAnsi="Times New Roman"/>
          <w:sz w:val="24"/>
          <w:szCs w:val="24"/>
        </w:rPr>
        <w:t xml:space="preserve">11 lipca 2014 r. o petycjach (Dz. U. z 2018r. poz. 870) ogłoszenie, w którym wskazano dwumiesięczny termin oczekiwania na dalsze petycje w powyższej sprawie. </w:t>
      </w:r>
    </w:p>
    <w:p w:rsidR="00ED1E3F" w:rsidRPr="00ED1E3F" w:rsidRDefault="00ED1E3F" w:rsidP="00ED1E3F">
      <w:pPr>
        <w:ind w:left="440" w:firstLine="720"/>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W okresie oczekiwania na dalsze petycje w sprawie wpłynęły: </w:t>
      </w:r>
    </w:p>
    <w:p w:rsidR="00ED1E3F" w:rsidRPr="00ED1E3F" w:rsidRDefault="00ED1E3F" w:rsidP="00ED1E3F">
      <w:pPr>
        <w:numPr>
          <w:ilvl w:val="0"/>
          <w:numId w:val="1"/>
        </w:numPr>
        <w:jc w:val="both"/>
        <w:rPr>
          <w:rFonts w:ascii="Times New Roman" w:eastAsia="Times New Roman" w:hAnsi="Times New Roman"/>
          <w:sz w:val="24"/>
          <w:szCs w:val="24"/>
        </w:rPr>
      </w:pPr>
      <w:r w:rsidRPr="00ED1E3F">
        <w:rPr>
          <w:rFonts w:ascii="Times New Roman" w:eastAsia="Times New Roman" w:hAnsi="Times New Roman"/>
          <w:sz w:val="24"/>
          <w:szCs w:val="24"/>
        </w:rPr>
        <w:t>w dniu 5 stycznia 2021r. list otwarty „Alarm! STOP zabójczemu GMO – STOP niebezpiecznej SZCZEPIONCE”, który uzupełniono jako petycję w dniu 16 stycznia 2021r. Treść petycji została przedstawiona radnym na wspólnym posiedzeniu Komisji Rady Gminy Milejewo w dniu 28 stycznia 2021r.;</w:t>
      </w:r>
    </w:p>
    <w:p w:rsidR="00ED1E3F" w:rsidRPr="00ED1E3F" w:rsidRDefault="00ED1E3F" w:rsidP="00ED1E3F">
      <w:pPr>
        <w:numPr>
          <w:ilvl w:val="0"/>
          <w:numId w:val="1"/>
        </w:numPr>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w dniu 1 lutego 2021r. Petycja w sprawie podjęcia leczenia COVID-19 w Polsce przez polskie władze (Petycja do wiadomości </w:t>
      </w:r>
      <w:proofErr w:type="spellStart"/>
      <w:r w:rsidRPr="00ED1E3F">
        <w:rPr>
          <w:rFonts w:ascii="Times New Roman" w:eastAsia="Times New Roman" w:hAnsi="Times New Roman"/>
          <w:sz w:val="24"/>
          <w:szCs w:val="24"/>
        </w:rPr>
        <w:t>Samorzadowców</w:t>
      </w:r>
      <w:proofErr w:type="spellEnd"/>
      <w:r w:rsidRPr="00ED1E3F">
        <w:rPr>
          <w:rFonts w:ascii="Times New Roman" w:eastAsia="Times New Roman" w:hAnsi="Times New Roman"/>
          <w:sz w:val="24"/>
          <w:szCs w:val="24"/>
        </w:rPr>
        <w:t>);</w:t>
      </w:r>
    </w:p>
    <w:p w:rsidR="00ED1E3F" w:rsidRPr="00ED1E3F" w:rsidRDefault="00ED1E3F" w:rsidP="00ED1E3F">
      <w:pPr>
        <w:numPr>
          <w:ilvl w:val="0"/>
          <w:numId w:val="1"/>
        </w:numPr>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w dniu 4 lutego 2021r. „Petycja do Premiera, Rady Medycznej przy Premierze </w:t>
      </w:r>
      <w:r w:rsidR="00B51A2A">
        <w:rPr>
          <w:rFonts w:ascii="Times New Roman" w:eastAsia="Times New Roman" w:hAnsi="Times New Roman"/>
          <w:sz w:val="24"/>
          <w:szCs w:val="24"/>
        </w:rPr>
        <w:br/>
      </w:r>
      <w:r w:rsidRPr="00ED1E3F">
        <w:rPr>
          <w:rFonts w:ascii="Times New Roman" w:eastAsia="Times New Roman" w:hAnsi="Times New Roman"/>
          <w:sz w:val="24"/>
          <w:szCs w:val="24"/>
        </w:rPr>
        <w:t xml:space="preserve">i osób zarządzających programem Domowa Opieka Medyczna o przeprowadzenie szerokiej akcji badań, profilaktyki oraz wczesnego leczenia COVID-19 a także zalecenie, dopuszczenie do stosowania i dostarczenie do Polski leku </w:t>
      </w:r>
      <w:proofErr w:type="spellStart"/>
      <w:r w:rsidRPr="00ED1E3F">
        <w:rPr>
          <w:rFonts w:ascii="Times New Roman" w:eastAsia="Times New Roman" w:hAnsi="Times New Roman"/>
          <w:sz w:val="24"/>
          <w:szCs w:val="24"/>
        </w:rPr>
        <w:t>Iwermektyna</w:t>
      </w:r>
      <w:proofErr w:type="spellEnd"/>
      <w:r w:rsidRPr="00ED1E3F">
        <w:rPr>
          <w:rFonts w:ascii="Times New Roman" w:eastAsia="Times New Roman" w:hAnsi="Times New Roman"/>
          <w:sz w:val="24"/>
          <w:szCs w:val="24"/>
        </w:rPr>
        <w:t xml:space="preserve">” (Petycja do wiadomości </w:t>
      </w:r>
      <w:proofErr w:type="spellStart"/>
      <w:r w:rsidRPr="00ED1E3F">
        <w:rPr>
          <w:rFonts w:ascii="Times New Roman" w:eastAsia="Times New Roman" w:hAnsi="Times New Roman"/>
          <w:sz w:val="24"/>
          <w:szCs w:val="24"/>
        </w:rPr>
        <w:t>Samorzadowców</w:t>
      </w:r>
      <w:proofErr w:type="spellEnd"/>
      <w:r w:rsidRPr="00ED1E3F">
        <w:rPr>
          <w:rFonts w:ascii="Times New Roman" w:eastAsia="Times New Roman" w:hAnsi="Times New Roman"/>
          <w:sz w:val="24"/>
          <w:szCs w:val="24"/>
        </w:rPr>
        <w:t>);</w:t>
      </w:r>
    </w:p>
    <w:p w:rsidR="00ED1E3F" w:rsidRPr="00ED1E3F" w:rsidRDefault="00ED1E3F" w:rsidP="00ED1E3F">
      <w:pPr>
        <w:numPr>
          <w:ilvl w:val="0"/>
          <w:numId w:val="1"/>
        </w:numPr>
        <w:jc w:val="both"/>
        <w:rPr>
          <w:rFonts w:ascii="Times New Roman" w:eastAsia="Times New Roman" w:hAnsi="Times New Roman"/>
          <w:sz w:val="24"/>
          <w:szCs w:val="24"/>
        </w:rPr>
      </w:pPr>
      <w:r w:rsidRPr="00ED1E3F">
        <w:rPr>
          <w:rFonts w:ascii="Times New Roman" w:eastAsia="Times New Roman" w:hAnsi="Times New Roman"/>
          <w:sz w:val="24"/>
          <w:szCs w:val="24"/>
        </w:rPr>
        <w:t>w dniu 8 lutego 2021r. petycja o przygotowanie komunikatu/uchwały dotyczących pakietu profilaktycznego. Petycja została wycofana przez wnoszącego w dniu 17 lutego 2021r.</w:t>
      </w:r>
    </w:p>
    <w:p w:rsidR="00ED1E3F" w:rsidRPr="00ED1E3F" w:rsidRDefault="00ED1E3F" w:rsidP="00FA22AE">
      <w:pPr>
        <w:ind w:left="426" w:firstLine="708"/>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 </w:t>
      </w:r>
      <w:r w:rsidR="007230CA">
        <w:rPr>
          <w:rFonts w:ascii="Times New Roman" w:eastAsia="Times New Roman" w:hAnsi="Times New Roman"/>
          <w:sz w:val="24"/>
          <w:szCs w:val="24"/>
        </w:rPr>
        <w:t>Rada</w:t>
      </w:r>
      <w:r>
        <w:rPr>
          <w:rFonts w:ascii="Times New Roman" w:eastAsia="Times New Roman" w:hAnsi="Times New Roman"/>
          <w:sz w:val="24"/>
          <w:szCs w:val="24"/>
        </w:rPr>
        <w:t xml:space="preserve"> Gminy Milejewo </w:t>
      </w:r>
      <w:r w:rsidRPr="00ED1E3F">
        <w:rPr>
          <w:rFonts w:ascii="Times New Roman" w:eastAsia="Times New Roman" w:hAnsi="Times New Roman"/>
          <w:sz w:val="24"/>
          <w:szCs w:val="24"/>
        </w:rPr>
        <w:t>w toku prowa</w:t>
      </w:r>
      <w:r w:rsidR="007230CA">
        <w:rPr>
          <w:rFonts w:ascii="Times New Roman" w:eastAsia="Times New Roman" w:hAnsi="Times New Roman"/>
          <w:sz w:val="24"/>
          <w:szCs w:val="24"/>
        </w:rPr>
        <w:t xml:space="preserve">dzonego postępowania </w:t>
      </w:r>
      <w:r w:rsidR="00FA22AE">
        <w:rPr>
          <w:rFonts w:ascii="Times New Roman" w:eastAsia="Times New Roman" w:hAnsi="Times New Roman"/>
          <w:iCs/>
          <w:sz w:val="24"/>
          <w:szCs w:val="24"/>
        </w:rPr>
        <w:t xml:space="preserve">uznała </w:t>
      </w:r>
      <w:r w:rsidR="00FA22AE" w:rsidRPr="00D772CB">
        <w:rPr>
          <w:rFonts w:ascii="Times New Roman" w:eastAsia="Times New Roman" w:hAnsi="Times New Roman"/>
          <w:i/>
          <w:sz w:val="24"/>
          <w:szCs w:val="24"/>
        </w:rPr>
        <w:t xml:space="preserve"> </w:t>
      </w:r>
      <w:r w:rsidR="00FA22AE" w:rsidRPr="00D772CB">
        <w:rPr>
          <w:rFonts w:ascii="Times New Roman" w:eastAsia="Times New Roman" w:hAnsi="Times New Roman"/>
          <w:sz w:val="24"/>
          <w:szCs w:val="24"/>
        </w:rPr>
        <w:t>przedmiotowe petycje za bezzasadne</w:t>
      </w:r>
      <w:r w:rsidR="00FA22AE">
        <w:rPr>
          <w:rFonts w:ascii="Times New Roman" w:eastAsia="Times New Roman" w:hAnsi="Times New Roman"/>
          <w:sz w:val="24"/>
          <w:szCs w:val="24"/>
        </w:rPr>
        <w:t>.</w:t>
      </w:r>
      <w:r w:rsidR="00FA22AE" w:rsidRPr="00D772CB">
        <w:rPr>
          <w:rFonts w:ascii="Times New Roman" w:eastAsia="Times New Roman" w:hAnsi="Times New Roman"/>
          <w:sz w:val="24"/>
          <w:szCs w:val="24"/>
        </w:rPr>
        <w:t xml:space="preserve"> </w:t>
      </w:r>
      <w:r w:rsidR="00FA22AE">
        <w:rPr>
          <w:rFonts w:ascii="Times New Roman" w:eastAsia="Times New Roman" w:hAnsi="Times New Roman"/>
          <w:sz w:val="24"/>
          <w:szCs w:val="24"/>
        </w:rPr>
        <w:t xml:space="preserve">Stwierdzono, że Rada Gminy </w:t>
      </w:r>
      <w:r w:rsidRPr="00ED1E3F">
        <w:rPr>
          <w:rFonts w:ascii="Times New Roman" w:eastAsia="Times New Roman" w:hAnsi="Times New Roman"/>
          <w:sz w:val="24"/>
          <w:szCs w:val="24"/>
        </w:rPr>
        <w:t>może podejm</w:t>
      </w:r>
      <w:r w:rsidR="007230CA">
        <w:rPr>
          <w:rFonts w:ascii="Times New Roman" w:eastAsia="Times New Roman" w:hAnsi="Times New Roman"/>
          <w:sz w:val="24"/>
          <w:szCs w:val="24"/>
        </w:rPr>
        <w:t xml:space="preserve">ować uchwały tylko w granicach </w:t>
      </w:r>
      <w:r w:rsidRPr="00ED1E3F">
        <w:rPr>
          <w:rFonts w:ascii="Times New Roman" w:eastAsia="Times New Roman" w:hAnsi="Times New Roman"/>
          <w:sz w:val="24"/>
          <w:szCs w:val="24"/>
        </w:rPr>
        <w:t xml:space="preserve">zadań gminy, a zatem w sprawach publicznych </w:t>
      </w:r>
      <w:r w:rsidR="007230CA">
        <w:rPr>
          <w:rFonts w:ascii="Times New Roman" w:eastAsia="Times New Roman" w:hAnsi="Times New Roman"/>
          <w:sz w:val="24"/>
          <w:szCs w:val="24"/>
        </w:rPr>
        <w:br/>
      </w:r>
      <w:r w:rsidRPr="00ED1E3F">
        <w:rPr>
          <w:rFonts w:ascii="Times New Roman" w:eastAsia="Times New Roman" w:hAnsi="Times New Roman"/>
          <w:sz w:val="24"/>
          <w:szCs w:val="24"/>
        </w:rPr>
        <w:t xml:space="preserve">o znaczeniu lokalnym, niezastrzeżonych ustawami na rzecz innych podmiotów (art. 6 ust.1 ustawy z dnia 8 marca 1990r. o samorządzie gminnym (Dz.U. z 2020 r. poz. 713 ze </w:t>
      </w:r>
      <w:r w:rsidRPr="00ED1E3F">
        <w:rPr>
          <w:rFonts w:ascii="Times New Roman" w:eastAsia="Times New Roman" w:hAnsi="Times New Roman"/>
          <w:sz w:val="24"/>
          <w:szCs w:val="24"/>
        </w:rPr>
        <w:lastRenderedPageBreak/>
        <w:t xml:space="preserve">zm.)). Żaden tymczasem z przepisów ustawy o samorządzie gminnym, a w szczególności art. 7, nie obejmuje swym zakresem ani recenzowania działań innych organów administracji publicznej, czy to na szczeblu krajowym, czy tym bardziej zagranicznym, ani podejmowania jakichkolwiek działań władczych względem organów administracji centralnej. Tak podjęta uchwała wykraczałaby poza zakres zadań gminy, a zatem byłaby niezgodna z obowiązującym prawem. Organ władzy publicznej działa wyłącznie </w:t>
      </w:r>
      <w:r w:rsidR="007230CA">
        <w:rPr>
          <w:rFonts w:ascii="Times New Roman" w:eastAsia="Times New Roman" w:hAnsi="Times New Roman"/>
          <w:sz w:val="24"/>
          <w:szCs w:val="24"/>
        </w:rPr>
        <w:br/>
      </w:r>
      <w:r w:rsidRPr="00ED1E3F">
        <w:rPr>
          <w:rFonts w:ascii="Times New Roman" w:eastAsia="Times New Roman" w:hAnsi="Times New Roman"/>
          <w:sz w:val="24"/>
          <w:szCs w:val="24"/>
        </w:rPr>
        <w:t>w ramach i w gran</w:t>
      </w:r>
      <w:r>
        <w:rPr>
          <w:rFonts w:ascii="Times New Roman" w:eastAsia="Times New Roman" w:hAnsi="Times New Roman"/>
          <w:sz w:val="24"/>
          <w:szCs w:val="24"/>
        </w:rPr>
        <w:t>icach prawa, co oznacza, że może on</w:t>
      </w:r>
      <w:r w:rsidRPr="00ED1E3F">
        <w:rPr>
          <w:rFonts w:ascii="Times New Roman" w:eastAsia="Times New Roman" w:hAnsi="Times New Roman"/>
          <w:sz w:val="24"/>
          <w:szCs w:val="24"/>
        </w:rPr>
        <w:t xml:space="preserve"> podejmować tylko takie dzi</w:t>
      </w:r>
      <w:r>
        <w:rPr>
          <w:rFonts w:ascii="Times New Roman" w:eastAsia="Times New Roman" w:hAnsi="Times New Roman"/>
          <w:sz w:val="24"/>
          <w:szCs w:val="24"/>
        </w:rPr>
        <w:t>ałania, na które prawo wprost mu</w:t>
      </w:r>
      <w:r w:rsidRPr="00ED1E3F">
        <w:rPr>
          <w:rFonts w:ascii="Times New Roman" w:eastAsia="Times New Roman" w:hAnsi="Times New Roman"/>
          <w:sz w:val="24"/>
          <w:szCs w:val="24"/>
        </w:rPr>
        <w:t xml:space="preserve"> zezwala. Niedopuszczalna jest wykładnia rozszerzająca, bazująca na szerokiej interpretacji zapisu art. 18 ust. 1 ustawy </w:t>
      </w:r>
      <w:r>
        <w:rPr>
          <w:rFonts w:ascii="Times New Roman" w:eastAsia="Times New Roman" w:hAnsi="Times New Roman"/>
          <w:sz w:val="24"/>
          <w:szCs w:val="24"/>
        </w:rPr>
        <w:br/>
      </w:r>
      <w:r w:rsidRPr="00ED1E3F">
        <w:rPr>
          <w:rFonts w:ascii="Times New Roman" w:eastAsia="Times New Roman" w:hAnsi="Times New Roman"/>
          <w:sz w:val="24"/>
          <w:szCs w:val="24"/>
        </w:rPr>
        <w:t xml:space="preserve">o samorządzie gminnym. </w:t>
      </w:r>
    </w:p>
    <w:p w:rsidR="00ED1E3F" w:rsidRPr="00ED1E3F" w:rsidRDefault="00ED1E3F" w:rsidP="00ED1E3F">
      <w:pPr>
        <w:ind w:left="426" w:firstLine="294"/>
        <w:jc w:val="both"/>
        <w:rPr>
          <w:rFonts w:ascii="Times New Roman" w:eastAsia="Times New Roman" w:hAnsi="Times New Roman"/>
          <w:sz w:val="24"/>
          <w:szCs w:val="24"/>
        </w:rPr>
      </w:pPr>
      <w:r w:rsidRPr="00ED1E3F">
        <w:rPr>
          <w:rFonts w:ascii="Times New Roman" w:eastAsia="Times New Roman" w:hAnsi="Times New Roman"/>
          <w:sz w:val="24"/>
          <w:szCs w:val="24"/>
        </w:rPr>
        <w:t xml:space="preserve">        Zauważyć, także należy, że przepis art. 18 ust. 1 ustawy o samorządzie gminnym nie jest, zgodnie z utrwaloną w doktrynie i orzecznictwie linią interpretacyjną, samodzielnym przepisem kompetencyjnym. Uchwała podjęta wyłącznie na jego podstawie również byłaby aktem podjętym bez podstawy prawnej, a więc niezgodnym </w:t>
      </w:r>
      <w:r>
        <w:rPr>
          <w:rFonts w:ascii="Times New Roman" w:eastAsia="Times New Roman" w:hAnsi="Times New Roman"/>
          <w:sz w:val="24"/>
          <w:szCs w:val="24"/>
        </w:rPr>
        <w:br/>
      </w:r>
      <w:r w:rsidRPr="00ED1E3F">
        <w:rPr>
          <w:rFonts w:ascii="Times New Roman" w:eastAsia="Times New Roman" w:hAnsi="Times New Roman"/>
          <w:sz w:val="24"/>
          <w:szCs w:val="24"/>
        </w:rPr>
        <w:t xml:space="preserve">z prawem. W orzecznictwie oraz w doktrynie przyjmuje się jedynie, że przepis art. 18 ust. 1 ustawy o samorządzie gminnym upoważnia radę gminy do podejmowania działań nie władczych, np. o charakterze programowym, intencyjnym, co jednak nie dotyczy treści analizowanych petycji. </w:t>
      </w:r>
    </w:p>
    <w:p w:rsidR="00ED1E3F" w:rsidRPr="00ED1E3F" w:rsidRDefault="00ED1E3F" w:rsidP="00ED1E3F">
      <w:pPr>
        <w:jc w:val="both"/>
        <w:rPr>
          <w:rFonts w:ascii="Times New Roman" w:eastAsia="Times New Roman" w:hAnsi="Times New Roman"/>
          <w:sz w:val="24"/>
          <w:szCs w:val="24"/>
        </w:rPr>
      </w:pPr>
    </w:p>
    <w:p w:rsidR="00ED1E3F" w:rsidRPr="00ED1E3F" w:rsidRDefault="00ED1E3F" w:rsidP="00B84278">
      <w:pPr>
        <w:ind w:left="426" w:firstLine="29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D1E3F">
        <w:rPr>
          <w:rFonts w:ascii="Times New Roman" w:eastAsia="Times New Roman" w:hAnsi="Times New Roman"/>
          <w:sz w:val="24"/>
          <w:szCs w:val="24"/>
        </w:rPr>
        <w:t xml:space="preserve">Niniejsza uchwała wraz z jej uzasadnieniem stanowią zawiadomienie o sposobie załatwienia petycji w rozumieniu art. 13 ustawy z dnia 11 lipca 2014 r. o petycjach </w:t>
      </w:r>
      <w:r w:rsidR="002A7AF1">
        <w:rPr>
          <w:rFonts w:ascii="Times New Roman" w:eastAsia="Times New Roman" w:hAnsi="Times New Roman"/>
          <w:sz w:val="24"/>
          <w:szCs w:val="24"/>
        </w:rPr>
        <w:br/>
      </w:r>
      <w:r w:rsidRPr="00ED1E3F">
        <w:rPr>
          <w:rFonts w:ascii="Times New Roman" w:eastAsia="Times New Roman" w:hAnsi="Times New Roman"/>
          <w:sz w:val="24"/>
          <w:szCs w:val="24"/>
        </w:rPr>
        <w:t>(Dz. U. z 2018r. poz. 870)</w:t>
      </w:r>
      <w:r w:rsidRPr="00B84278">
        <w:rPr>
          <w:rFonts w:ascii="Times New Roman" w:eastAsia="Times New Roman" w:hAnsi="Times New Roman"/>
          <w:sz w:val="24"/>
          <w:szCs w:val="24"/>
        </w:rPr>
        <w:t>.</w:t>
      </w:r>
      <w:r w:rsidRPr="00ED1E3F">
        <w:rPr>
          <w:rFonts w:ascii="Times New Roman" w:eastAsia="Times New Roman" w:hAnsi="Times New Roman"/>
          <w:sz w:val="24"/>
          <w:szCs w:val="24"/>
        </w:rPr>
        <w:t xml:space="preserve"> Sposób załatwienia petycji nie może być przedmiotem skargi. </w:t>
      </w:r>
    </w:p>
    <w:p w:rsidR="00C9293A" w:rsidRPr="00ED1E3F" w:rsidRDefault="00C9293A" w:rsidP="00ED1E3F">
      <w:pPr>
        <w:jc w:val="both"/>
        <w:rPr>
          <w:sz w:val="24"/>
          <w:szCs w:val="24"/>
        </w:rPr>
      </w:pPr>
    </w:p>
    <w:p w:rsidR="00442BBC" w:rsidRDefault="00442BBC" w:rsidP="00442BBC">
      <w:pPr>
        <w:rPr>
          <w:sz w:val="24"/>
          <w:szCs w:val="24"/>
        </w:rPr>
      </w:pPr>
    </w:p>
    <w:p w:rsidR="00442BBC" w:rsidRDefault="00442BBC" w:rsidP="00442BBC">
      <w:pPr>
        <w:pStyle w:val="Normal0"/>
        <w:tabs>
          <w:tab w:val="left" w:pos="5670"/>
        </w:tabs>
        <w:spacing w:before="120" w:after="120"/>
        <w:ind w:left="5664"/>
        <w:jc w:val="left"/>
        <w:rPr>
          <w:sz w:val="24"/>
          <w:szCs w:val="24"/>
          <w:lang w:val="x-none"/>
        </w:rPr>
      </w:pPr>
      <w:r>
        <w:rPr>
          <w:sz w:val="24"/>
          <w:szCs w:val="24"/>
        </w:rPr>
        <w:tab/>
      </w:r>
      <w:r>
        <w:rPr>
          <w:i/>
          <w:iCs/>
          <w:sz w:val="24"/>
          <w:szCs w:val="24"/>
        </w:rPr>
        <w:t>Przewodniczący Rady Gminy</w:t>
      </w:r>
      <w:r>
        <w:rPr>
          <w:i/>
          <w:iCs/>
          <w:sz w:val="24"/>
          <w:szCs w:val="24"/>
        </w:rPr>
        <w:br/>
        <w:t xml:space="preserve">         Zbigniew  Banach</w:t>
      </w:r>
      <w:r>
        <w:rPr>
          <w:b/>
          <w:bCs/>
          <w:sz w:val="24"/>
          <w:szCs w:val="24"/>
        </w:rPr>
        <w:t xml:space="preserve">   </w:t>
      </w:r>
    </w:p>
    <w:p w:rsidR="00ED1E3F" w:rsidRPr="00442BBC" w:rsidRDefault="00ED1E3F" w:rsidP="00442BBC">
      <w:pPr>
        <w:tabs>
          <w:tab w:val="left" w:pos="5670"/>
          <w:tab w:val="left" w:pos="5920"/>
        </w:tabs>
        <w:rPr>
          <w:sz w:val="24"/>
          <w:szCs w:val="24"/>
        </w:rPr>
      </w:pPr>
    </w:p>
    <w:sectPr w:rsidR="00ED1E3F" w:rsidRPr="00442B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CF" w:rsidRDefault="009C09CF" w:rsidP="00ED1E3F">
      <w:r>
        <w:separator/>
      </w:r>
    </w:p>
  </w:endnote>
  <w:endnote w:type="continuationSeparator" w:id="0">
    <w:p w:rsidR="009C09CF" w:rsidRDefault="009C09CF" w:rsidP="00ED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CF" w:rsidRDefault="009C09CF" w:rsidP="00ED1E3F">
      <w:r>
        <w:separator/>
      </w:r>
    </w:p>
  </w:footnote>
  <w:footnote w:type="continuationSeparator" w:id="0">
    <w:p w:rsidR="009C09CF" w:rsidRDefault="009C09CF" w:rsidP="00ED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2E" w:rsidRDefault="00472A2E" w:rsidP="008E0692">
    <w:pPr>
      <w:pStyle w:val="Nagwek"/>
      <w:ind w:left="39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89E"/>
    <w:multiLevelType w:val="hybridMultilevel"/>
    <w:tmpl w:val="9AA8BC6E"/>
    <w:lvl w:ilvl="0" w:tplc="94BC984E">
      <w:start w:val="1"/>
      <w:numFmt w:val="bullet"/>
      <w:lvlText w:val=""/>
      <w:lvlJc w:val="center"/>
      <w:pPr>
        <w:ind w:left="1160" w:hanging="360"/>
      </w:pPr>
      <w:rPr>
        <w:rFonts w:ascii="Symbol" w:hAnsi="Symbol" w:hint="default"/>
      </w:rPr>
    </w:lvl>
    <w:lvl w:ilvl="1" w:tplc="04150003">
      <w:start w:val="1"/>
      <w:numFmt w:val="bullet"/>
      <w:lvlText w:val="o"/>
      <w:lvlJc w:val="left"/>
      <w:pPr>
        <w:ind w:left="1880" w:hanging="360"/>
      </w:pPr>
      <w:rPr>
        <w:rFonts w:ascii="Courier New" w:hAnsi="Courier New" w:cs="Courier New" w:hint="default"/>
      </w:rPr>
    </w:lvl>
    <w:lvl w:ilvl="2" w:tplc="04150005">
      <w:start w:val="1"/>
      <w:numFmt w:val="bullet"/>
      <w:lvlText w:val=""/>
      <w:lvlJc w:val="left"/>
      <w:pPr>
        <w:ind w:left="2600" w:hanging="360"/>
      </w:pPr>
      <w:rPr>
        <w:rFonts w:ascii="Wingdings" w:hAnsi="Wingdings" w:hint="default"/>
      </w:rPr>
    </w:lvl>
    <w:lvl w:ilvl="3" w:tplc="04150001">
      <w:start w:val="1"/>
      <w:numFmt w:val="bullet"/>
      <w:lvlText w:val=""/>
      <w:lvlJc w:val="left"/>
      <w:pPr>
        <w:ind w:left="3320" w:hanging="360"/>
      </w:pPr>
      <w:rPr>
        <w:rFonts w:ascii="Symbol" w:hAnsi="Symbol" w:hint="default"/>
      </w:rPr>
    </w:lvl>
    <w:lvl w:ilvl="4" w:tplc="04150003">
      <w:start w:val="1"/>
      <w:numFmt w:val="bullet"/>
      <w:lvlText w:val="o"/>
      <w:lvlJc w:val="left"/>
      <w:pPr>
        <w:ind w:left="4040" w:hanging="360"/>
      </w:pPr>
      <w:rPr>
        <w:rFonts w:ascii="Courier New" w:hAnsi="Courier New" w:cs="Courier New" w:hint="default"/>
      </w:rPr>
    </w:lvl>
    <w:lvl w:ilvl="5" w:tplc="04150005">
      <w:start w:val="1"/>
      <w:numFmt w:val="bullet"/>
      <w:lvlText w:val=""/>
      <w:lvlJc w:val="left"/>
      <w:pPr>
        <w:ind w:left="4760" w:hanging="360"/>
      </w:pPr>
      <w:rPr>
        <w:rFonts w:ascii="Wingdings" w:hAnsi="Wingdings" w:hint="default"/>
      </w:rPr>
    </w:lvl>
    <w:lvl w:ilvl="6" w:tplc="04150001">
      <w:start w:val="1"/>
      <w:numFmt w:val="bullet"/>
      <w:lvlText w:val=""/>
      <w:lvlJc w:val="left"/>
      <w:pPr>
        <w:ind w:left="5480" w:hanging="360"/>
      </w:pPr>
      <w:rPr>
        <w:rFonts w:ascii="Symbol" w:hAnsi="Symbol" w:hint="default"/>
      </w:rPr>
    </w:lvl>
    <w:lvl w:ilvl="7" w:tplc="04150003">
      <w:start w:val="1"/>
      <w:numFmt w:val="bullet"/>
      <w:lvlText w:val="o"/>
      <w:lvlJc w:val="left"/>
      <w:pPr>
        <w:ind w:left="6200" w:hanging="360"/>
      </w:pPr>
      <w:rPr>
        <w:rFonts w:ascii="Courier New" w:hAnsi="Courier New" w:cs="Courier New" w:hint="default"/>
      </w:rPr>
    </w:lvl>
    <w:lvl w:ilvl="8" w:tplc="04150005">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3F"/>
    <w:rsid w:val="0012279B"/>
    <w:rsid w:val="00162AB3"/>
    <w:rsid w:val="0027464F"/>
    <w:rsid w:val="002A7AF1"/>
    <w:rsid w:val="002D215C"/>
    <w:rsid w:val="00303F71"/>
    <w:rsid w:val="00322DA4"/>
    <w:rsid w:val="00362CC6"/>
    <w:rsid w:val="00442BBC"/>
    <w:rsid w:val="0045031C"/>
    <w:rsid w:val="00472A2E"/>
    <w:rsid w:val="007230CA"/>
    <w:rsid w:val="007B00CA"/>
    <w:rsid w:val="007C4C58"/>
    <w:rsid w:val="007F33BB"/>
    <w:rsid w:val="00817CB7"/>
    <w:rsid w:val="008E0692"/>
    <w:rsid w:val="008E5F00"/>
    <w:rsid w:val="0096479F"/>
    <w:rsid w:val="009C09CF"/>
    <w:rsid w:val="00A82FDC"/>
    <w:rsid w:val="00A85CB3"/>
    <w:rsid w:val="00B33AF4"/>
    <w:rsid w:val="00B51A2A"/>
    <w:rsid w:val="00B5773B"/>
    <w:rsid w:val="00B66FBE"/>
    <w:rsid w:val="00B80ACF"/>
    <w:rsid w:val="00B84278"/>
    <w:rsid w:val="00C41D53"/>
    <w:rsid w:val="00C9293A"/>
    <w:rsid w:val="00CE002C"/>
    <w:rsid w:val="00ED1E3F"/>
    <w:rsid w:val="00F332B7"/>
    <w:rsid w:val="00FA22AE"/>
    <w:rsid w:val="00FC3D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E3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E3F"/>
    <w:pPr>
      <w:tabs>
        <w:tab w:val="center" w:pos="4536"/>
        <w:tab w:val="right" w:pos="9072"/>
      </w:tabs>
    </w:pPr>
  </w:style>
  <w:style w:type="character" w:customStyle="1" w:styleId="NagwekZnak">
    <w:name w:val="Nagłówek Znak"/>
    <w:basedOn w:val="Domylnaczcionkaakapitu"/>
    <w:link w:val="Nagwek"/>
    <w:uiPriority w:val="99"/>
    <w:rsid w:val="00ED1E3F"/>
    <w:rPr>
      <w:rFonts w:ascii="Calibri" w:eastAsia="Calibri" w:hAnsi="Calibri" w:cs="Arial"/>
      <w:sz w:val="20"/>
      <w:szCs w:val="20"/>
      <w:lang w:eastAsia="pl-PL"/>
    </w:rPr>
  </w:style>
  <w:style w:type="paragraph" w:styleId="Stopka">
    <w:name w:val="footer"/>
    <w:basedOn w:val="Normalny"/>
    <w:link w:val="StopkaZnak"/>
    <w:uiPriority w:val="99"/>
    <w:unhideWhenUsed/>
    <w:rsid w:val="00ED1E3F"/>
    <w:pPr>
      <w:tabs>
        <w:tab w:val="center" w:pos="4536"/>
        <w:tab w:val="right" w:pos="9072"/>
      </w:tabs>
    </w:pPr>
  </w:style>
  <w:style w:type="character" w:customStyle="1" w:styleId="StopkaZnak">
    <w:name w:val="Stopka Znak"/>
    <w:basedOn w:val="Domylnaczcionkaakapitu"/>
    <w:link w:val="Stopka"/>
    <w:uiPriority w:val="99"/>
    <w:rsid w:val="00ED1E3F"/>
    <w:rPr>
      <w:rFonts w:ascii="Calibri" w:eastAsia="Calibri" w:hAnsi="Calibri" w:cs="Arial"/>
      <w:sz w:val="20"/>
      <w:szCs w:val="20"/>
      <w:lang w:eastAsia="pl-PL"/>
    </w:rPr>
  </w:style>
  <w:style w:type="paragraph" w:customStyle="1" w:styleId="Normal0">
    <w:name w:val="Normal_0"/>
    <w:qFormat/>
    <w:rsid w:val="00442BBC"/>
    <w:pPr>
      <w:spacing w:after="0" w:line="240" w:lineRule="auto"/>
      <w:jc w:val="both"/>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E3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E3F"/>
    <w:pPr>
      <w:tabs>
        <w:tab w:val="center" w:pos="4536"/>
        <w:tab w:val="right" w:pos="9072"/>
      </w:tabs>
    </w:pPr>
  </w:style>
  <w:style w:type="character" w:customStyle="1" w:styleId="NagwekZnak">
    <w:name w:val="Nagłówek Znak"/>
    <w:basedOn w:val="Domylnaczcionkaakapitu"/>
    <w:link w:val="Nagwek"/>
    <w:uiPriority w:val="99"/>
    <w:rsid w:val="00ED1E3F"/>
    <w:rPr>
      <w:rFonts w:ascii="Calibri" w:eastAsia="Calibri" w:hAnsi="Calibri" w:cs="Arial"/>
      <w:sz w:val="20"/>
      <w:szCs w:val="20"/>
      <w:lang w:eastAsia="pl-PL"/>
    </w:rPr>
  </w:style>
  <w:style w:type="paragraph" w:styleId="Stopka">
    <w:name w:val="footer"/>
    <w:basedOn w:val="Normalny"/>
    <w:link w:val="StopkaZnak"/>
    <w:uiPriority w:val="99"/>
    <w:unhideWhenUsed/>
    <w:rsid w:val="00ED1E3F"/>
    <w:pPr>
      <w:tabs>
        <w:tab w:val="center" w:pos="4536"/>
        <w:tab w:val="right" w:pos="9072"/>
      </w:tabs>
    </w:pPr>
  </w:style>
  <w:style w:type="character" w:customStyle="1" w:styleId="StopkaZnak">
    <w:name w:val="Stopka Znak"/>
    <w:basedOn w:val="Domylnaczcionkaakapitu"/>
    <w:link w:val="Stopka"/>
    <w:uiPriority w:val="99"/>
    <w:rsid w:val="00ED1E3F"/>
    <w:rPr>
      <w:rFonts w:ascii="Calibri" w:eastAsia="Calibri" w:hAnsi="Calibri" w:cs="Arial"/>
      <w:sz w:val="20"/>
      <w:szCs w:val="20"/>
      <w:lang w:eastAsia="pl-PL"/>
    </w:rPr>
  </w:style>
  <w:style w:type="paragraph" w:customStyle="1" w:styleId="Normal0">
    <w:name w:val="Normal_0"/>
    <w:qFormat/>
    <w:rsid w:val="00442BBC"/>
    <w:pPr>
      <w:spacing w:after="0" w:line="240" w:lineRule="auto"/>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240215011">
      <w:bodyDiv w:val="1"/>
      <w:marLeft w:val="0"/>
      <w:marRight w:val="0"/>
      <w:marTop w:val="0"/>
      <w:marBottom w:val="0"/>
      <w:divBdr>
        <w:top w:val="none" w:sz="0" w:space="0" w:color="auto"/>
        <w:left w:val="none" w:sz="0" w:space="0" w:color="auto"/>
        <w:bottom w:val="none" w:sz="0" w:space="0" w:color="auto"/>
        <w:right w:val="none" w:sz="0" w:space="0" w:color="auto"/>
      </w:divBdr>
    </w:div>
    <w:div w:id="20978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2021-03-08T12:54:00Z</cp:lastPrinted>
  <dcterms:created xsi:type="dcterms:W3CDTF">2021-03-17T13:02:00Z</dcterms:created>
  <dcterms:modified xsi:type="dcterms:W3CDTF">2021-03-22T13:44:00Z</dcterms:modified>
</cp:coreProperties>
</file>