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A" w:rsidRDefault="002D239C" w:rsidP="00A80E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A80E5A" w:rsidRPr="00A80E5A" w:rsidRDefault="002D239C" w:rsidP="00A80E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XXXII/219</w:t>
      </w:r>
      <w:r w:rsidR="00A80E5A" w:rsidRPr="00A80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/2022</w:t>
      </w:r>
      <w:r w:rsidR="00A80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A80E5A" w:rsidRPr="00A80E5A" w:rsidRDefault="00A80E5A" w:rsidP="00A80E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:rsidR="00A80E5A" w:rsidRPr="00A80E5A" w:rsidRDefault="00A80E5A" w:rsidP="00A80E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05 października 2022 r.  </w:t>
      </w:r>
      <w:r w:rsidRPr="00A80E5A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Pr="00A80E5A">
        <w:rPr>
          <w:rFonts w:ascii="Times New Roman" w:hAnsi="Times New Roman" w:cs="Times New Roman"/>
          <w:b/>
          <w:bCs/>
          <w:sz w:val="24"/>
          <w:szCs w:val="24"/>
        </w:rPr>
        <w:br/>
        <w:t>na lata 2022– 2025</w:t>
      </w:r>
    </w:p>
    <w:p w:rsidR="00A80E5A" w:rsidRPr="00A80E5A" w:rsidRDefault="00A80E5A" w:rsidP="00A80E5A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0E5A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2022 r. poz. 559 ze zm.)</w:t>
      </w:r>
    </w:p>
    <w:p w:rsidR="00A80E5A" w:rsidRPr="00A80E5A" w:rsidRDefault="00A80E5A" w:rsidP="00A80E5A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0E5A" w:rsidRPr="00A80E5A" w:rsidRDefault="00A80E5A" w:rsidP="00A80E5A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E5A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A80E5A" w:rsidRPr="00A80E5A" w:rsidRDefault="00A80E5A" w:rsidP="00A80E5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E5A" w:rsidRPr="00A80E5A" w:rsidRDefault="00A80E5A" w:rsidP="00A80E5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A80E5A"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 r.                    w sprawie uchwalenia Wieloletniej Prognozy Finansowej Gminy Milejewo na lata 2022-2025,  dokonuje się zmian zgodnie z załącznikami Nr 1 i Nr 2.</w:t>
      </w:r>
    </w:p>
    <w:p w:rsidR="00A80E5A" w:rsidRPr="00A80E5A" w:rsidRDefault="00A80E5A" w:rsidP="00A80E5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80E5A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3C5692" w:rsidRDefault="00A80E5A" w:rsidP="003C569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 w:rsidRPr="00A80E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692">
        <w:rPr>
          <w:rFonts w:ascii="Times New Roman" w:hAnsi="Times New Roman" w:cs="Times New Roman"/>
          <w:sz w:val="24"/>
          <w:szCs w:val="24"/>
        </w:rPr>
        <w:tab/>
      </w:r>
      <w:r w:rsidR="003C5692">
        <w:rPr>
          <w:rFonts w:asciiTheme="majorBidi" w:hAnsiTheme="majorBidi" w:cstheme="majorBidi"/>
          <w:i/>
          <w:iCs/>
        </w:rPr>
        <w:t>Przewodniczący Rady Gminy</w:t>
      </w:r>
    </w:p>
    <w:p w:rsidR="003C5692" w:rsidRDefault="003C5692" w:rsidP="003C569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A80E5A" w:rsidRPr="00A80E5A" w:rsidRDefault="00A80E5A" w:rsidP="003C5692">
      <w:pPr>
        <w:tabs>
          <w:tab w:val="left" w:pos="54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E5A" w:rsidRPr="00A80E5A" w:rsidRDefault="00A80E5A" w:rsidP="00A80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80E5A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A80E5A" w:rsidRPr="00A80E5A" w:rsidRDefault="00A80E5A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0E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</w:p>
    <w:p w:rsidR="00A80E5A" w:rsidRDefault="00A80E5A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</w:t>
      </w: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Uchwały Nr XXXII/219</w:t>
      </w:r>
      <w:r w:rsidRPr="00103F29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F29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05 października</w:t>
      </w:r>
      <w:r w:rsidRPr="00103F29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92" w:rsidRPr="00103F29" w:rsidRDefault="003C5692" w:rsidP="003C569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Milejewo,  Rada Gminy Milejewo Uchwala zmiany w Wieloletniej Prognozie Finansowej, zgodnie z załącznikami  Nr 1  i 2</w:t>
      </w:r>
      <w:r>
        <w:rPr>
          <w:rFonts w:ascii="Times New Roman" w:hAnsi="Times New Roman" w:cs="Times New Roman"/>
          <w:sz w:val="24"/>
          <w:szCs w:val="24"/>
        </w:rPr>
        <w:t xml:space="preserve"> do Uchwały        Nr XXXII/219/2022  z dnia  05 października </w:t>
      </w:r>
      <w:r w:rsidRPr="00103F29">
        <w:rPr>
          <w:rFonts w:ascii="Times New Roman" w:hAnsi="Times New Roman" w:cs="Times New Roman"/>
          <w:sz w:val="24"/>
          <w:szCs w:val="24"/>
        </w:rPr>
        <w:t xml:space="preserve">2022 r. w sprawie: zmian w budżecie Gminy Milejewo na  2022 r.  </w:t>
      </w:r>
    </w:p>
    <w:p w:rsidR="003C5692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>Zmiany dotyczą: w zakresie dochodów ogółem zwiększenie w kwocie 1 220 298,00 zł. w tym  bieżące o 1 220 298,00 zł., a dochody majątkowe – pozostają bez zmian.  Po stronie wydatków wprowadzone zmiany zwiększają o kwotę 1 220 298,00 zł. wydatki ogółem, w tym wydatk</w:t>
      </w:r>
      <w:r>
        <w:rPr>
          <w:rFonts w:ascii="Times New Roman" w:hAnsi="Times New Roman" w:cs="Times New Roman"/>
          <w:sz w:val="24"/>
          <w:szCs w:val="24"/>
        </w:rPr>
        <w:t xml:space="preserve">i bieżące o kwotę  </w:t>
      </w:r>
      <w:r w:rsidRPr="00103F29">
        <w:rPr>
          <w:rFonts w:ascii="Times New Roman" w:hAnsi="Times New Roman" w:cs="Times New Roman"/>
          <w:sz w:val="24"/>
          <w:szCs w:val="24"/>
        </w:rPr>
        <w:t>1 220 298,00 zł. (w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29">
        <w:rPr>
          <w:rFonts w:ascii="Times New Roman" w:hAnsi="Times New Roman" w:cs="Times New Roman"/>
          <w:sz w:val="24"/>
          <w:szCs w:val="24"/>
        </w:rPr>
        <w:t xml:space="preserve">:zwiększenie o kwotę 1 197 000,00 zł świadczeń socjalnych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F29">
        <w:rPr>
          <w:rFonts w:ascii="Times New Roman" w:hAnsi="Times New Roman" w:cs="Times New Roman"/>
          <w:sz w:val="24"/>
          <w:szCs w:val="24"/>
        </w:rPr>
        <w:t>sfinasowanie</w:t>
      </w:r>
      <w:proofErr w:type="spellEnd"/>
      <w:r w:rsidRPr="00103F29">
        <w:rPr>
          <w:rFonts w:ascii="Times New Roman" w:hAnsi="Times New Roman" w:cs="Times New Roman"/>
          <w:sz w:val="24"/>
          <w:szCs w:val="24"/>
        </w:rPr>
        <w:t xml:space="preserve"> wypłaty dodatku węglowego ,  zwiększenie o kwotę 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>11 076,00 zł. wynagrodzeń i składek od nich naliczanych, zwiększenie o kwotę 12 222,00 zł. wydatków związanych z realizacją zadania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3F29">
        <w:rPr>
          <w:rFonts w:ascii="Times New Roman" w:hAnsi="Times New Roman" w:cs="Times New Roman"/>
          <w:sz w:val="24"/>
          <w:szCs w:val="24"/>
        </w:rPr>
        <w:t>.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Wydatki majątkowe – kwoty ogółem pozostają bez zmian, dokonuje się przesunięć między zadaniami inwestycyjnymi, w tym: 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- zmniejsza się o kwotę 39 000,00 zł. wydatki na zakupy inwestycyjne, w tym: zadanie p. n. „Wykup gruntów”. Plan przed zmianą 50 000,00 zł. – 39 000,00 zł.= 11 000,00 zł. 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 - zwiększa się o kwotę 39 000,00 zł. wydatki inwestycyjne, w tym: zadanie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p. n. „Modernizacja mienia komun</w:t>
      </w:r>
      <w:r w:rsidRPr="00103F29">
        <w:rPr>
          <w:rFonts w:ascii="Times New Roman" w:hAnsi="Times New Roman" w:cs="Times New Roman"/>
          <w:sz w:val="24"/>
          <w:szCs w:val="24"/>
        </w:rPr>
        <w:t>alnego”. Plan przed zmianą 41 000,00 zł. + 39 000,00 zł.=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   80 000,00zł. 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 xml:space="preserve">Zatem dochody i wydatki ogółem zwiększają się o kwotę 1 220 298,00 zł. Dochody wynoszą </w:t>
      </w:r>
    </w:p>
    <w:p w:rsidR="003C5692" w:rsidRPr="00103F29" w:rsidRDefault="003C5692" w:rsidP="003C569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03F29">
        <w:rPr>
          <w:rFonts w:ascii="Times New Roman" w:hAnsi="Times New Roman" w:cs="Times New Roman"/>
          <w:sz w:val="24"/>
          <w:szCs w:val="24"/>
        </w:rPr>
        <w:t>35 233,441,66 zł i wydatki 36 968 424,91  zł. Zmiany o których mowa wyżej nie powodują zmian w kwocie planowanego deficytu. Przychody i rozchody pozostają również bez zmian.</w:t>
      </w:r>
    </w:p>
    <w:p w:rsidR="003C5692" w:rsidRPr="00A80E5A" w:rsidRDefault="003C5692" w:rsidP="00A80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692" w:rsidRDefault="003C5692" w:rsidP="003C569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3C5692" w:rsidRDefault="003C5692" w:rsidP="003C569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155431" w:rsidRDefault="00155431">
      <w:bookmarkStart w:id="0" w:name="_GoBack"/>
      <w:bookmarkEnd w:id="0"/>
    </w:p>
    <w:sectPr w:rsidR="00155431" w:rsidSect="000C79C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5A"/>
    <w:rsid w:val="00155431"/>
    <w:rsid w:val="002D239C"/>
    <w:rsid w:val="003C5692"/>
    <w:rsid w:val="00713B94"/>
    <w:rsid w:val="007E4AD6"/>
    <w:rsid w:val="00A80E5A"/>
    <w:rsid w:val="00E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2022-10-11T06:32:00Z</dcterms:created>
  <dcterms:modified xsi:type="dcterms:W3CDTF">2022-10-11T06:32:00Z</dcterms:modified>
</cp:coreProperties>
</file>